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335" w:rsidRDefault="00566335" w:rsidP="00566335">
      <w:pPr>
        <w:pStyle w:val="Normaalweb"/>
      </w:pPr>
      <w:r>
        <w:t xml:space="preserve">Index short </w:t>
      </w:r>
      <w:proofErr w:type="spellStart"/>
      <w:r>
        <w:t>strangles</w:t>
      </w:r>
      <w:proofErr w:type="spellEnd"/>
      <w:r>
        <w:t xml:space="preserve"> op de AEX</w:t>
      </w:r>
    </w:p>
    <w:p w:rsidR="00F76460" w:rsidRDefault="00566335" w:rsidP="00F76460">
      <w:pPr>
        <w:pStyle w:val="Tekstopmerking"/>
      </w:pPr>
      <w:r>
        <w:t xml:space="preserve">Optiestrategie die erop gericht is om winst te maken bij een horizontale </w:t>
      </w:r>
      <w:r w:rsidR="00CC366E">
        <w:t>koersbeweging</w:t>
      </w:r>
      <w:r>
        <w:t xml:space="preserve"> van de onderliggende waarde (AEX in ons geval). De kunst bij een short </w:t>
      </w:r>
      <w:proofErr w:type="spellStart"/>
      <w:r>
        <w:t>strangle</w:t>
      </w:r>
      <w:proofErr w:type="spellEnd"/>
      <w:r>
        <w:t xml:space="preserve"> optiestrategie is dat u beide premies (Call en Put) in samenhang moet beschouwen. </w:t>
      </w:r>
      <w:r w:rsidR="00F76460">
        <w:t xml:space="preserve">Om de samenhang beter te kunnen benaderen en interpreteren kan men gebruik maken van een aantal variabelen die samen met de Academy van Binck in een Excel spreadsheet zijn gegoten. </w:t>
      </w:r>
    </w:p>
    <w:p w:rsidR="00566335" w:rsidRDefault="00566335" w:rsidP="00566335">
      <w:pPr>
        <w:pStyle w:val="Normaalweb"/>
      </w:pPr>
      <w:r>
        <w:rPr>
          <w:rStyle w:val="Zwaar"/>
        </w:rPr>
        <w:t>Verwachting</w:t>
      </w:r>
      <w:r>
        <w:t>: maximaal 40 punten omhoog en maximaal 40 punten omlaag (95 % kans)</w:t>
      </w:r>
      <w:r>
        <w:br/>
      </w:r>
      <w:r>
        <w:rPr>
          <w:rStyle w:val="Zwaar"/>
        </w:rPr>
        <w:t>Risico</w:t>
      </w:r>
      <w:r>
        <w:t xml:space="preserve">: onbeperkt bij een stijging of daling, tenzij afgedekt met </w:t>
      </w:r>
      <w:r w:rsidR="009C0CD4">
        <w:t xml:space="preserve">een </w:t>
      </w:r>
      <w:r>
        <w:t xml:space="preserve">te kopen Put. In dit geval is het verlies </w:t>
      </w:r>
      <w:r w:rsidR="004A4D72">
        <w:t>100</w:t>
      </w:r>
      <w:r>
        <w:t xml:space="preserve"> </w:t>
      </w:r>
      <w:r w:rsidR="009C0CD4">
        <w:t>€</w:t>
      </w:r>
      <w:r>
        <w:t xml:space="preserve"> per AEX punt buiten de strike</w:t>
      </w:r>
      <w:r w:rsidR="004A4D72">
        <w:t xml:space="preserve"> op expiratie.</w:t>
      </w:r>
      <w:r>
        <w:br/>
      </w:r>
      <w:r>
        <w:rPr>
          <w:rStyle w:val="Zwaar"/>
        </w:rPr>
        <w:t>Opbrengst</w:t>
      </w:r>
      <w:r>
        <w:t>: de ontvangen premie</w:t>
      </w:r>
      <w:r w:rsidR="004B4AA7">
        <w:t>.</w:t>
      </w:r>
      <w:r>
        <w:br/>
      </w:r>
      <w:proofErr w:type="spellStart"/>
      <w:r>
        <w:rPr>
          <w:rStyle w:val="Zwaar"/>
        </w:rPr>
        <w:t>Margin</w:t>
      </w:r>
      <w:proofErr w:type="spellEnd"/>
      <w:r>
        <w:t>: ja</w:t>
      </w:r>
      <w:r w:rsidR="00CC366E">
        <w:t xml:space="preserve">, plus </w:t>
      </w:r>
      <w:r w:rsidR="009C0CD4">
        <w:t>minus €</w:t>
      </w:r>
      <w:r w:rsidR="00CC366E">
        <w:t xml:space="preserve">4.000,- per </w:t>
      </w:r>
      <w:r w:rsidR="004A4D72">
        <w:t>optiecontract</w:t>
      </w:r>
      <w:r w:rsidR="00CC366E">
        <w:t>.</w:t>
      </w:r>
    </w:p>
    <w:p w:rsidR="00566335" w:rsidRDefault="00566335" w:rsidP="00566335">
      <w:pPr>
        <w:pStyle w:val="Normaalweb"/>
      </w:pPr>
      <w:r>
        <w:t xml:space="preserve">Huidige stand AEX * </w:t>
      </w:r>
      <w:proofErr w:type="spellStart"/>
      <w:r>
        <w:t>implied</w:t>
      </w:r>
      <w:proofErr w:type="spellEnd"/>
      <w:r>
        <w:t xml:space="preserve"> </w:t>
      </w:r>
      <w:proofErr w:type="spellStart"/>
      <w:r>
        <w:t>volatility</w:t>
      </w:r>
      <w:proofErr w:type="spellEnd"/>
      <w:r>
        <w:t xml:space="preserve"> * wortel (dagen tot expiratie/handelsdagen beursjaar)</w:t>
      </w:r>
    </w:p>
    <w:p w:rsidR="00566335" w:rsidRDefault="00566335" w:rsidP="00566335">
      <w:pPr>
        <w:pStyle w:val="Normaalweb"/>
      </w:pPr>
      <w:r>
        <w:t xml:space="preserve">          </w:t>
      </w:r>
      <w:proofErr w:type="gramStart"/>
      <w:r>
        <w:t>540  *</w:t>
      </w:r>
      <w:proofErr w:type="gramEnd"/>
      <w:r>
        <w:t>  12 %  * wortel(20/252) = 18,2553 (is de standaard deviatie)</w:t>
      </w:r>
    </w:p>
    <w:p w:rsidR="00566335" w:rsidRDefault="00566335" w:rsidP="00566335">
      <w:pPr>
        <w:pStyle w:val="Normaalweb"/>
      </w:pPr>
      <w:r>
        <w:t>Scenario: 1 * standaarddeviatie</w:t>
      </w:r>
    </w:p>
    <w:p w:rsidR="00566335" w:rsidRDefault="00566335" w:rsidP="004A4D72">
      <w:pPr>
        <w:pStyle w:val="Normaalweb"/>
      </w:pPr>
      <w:r>
        <w:t>Te verkopen call                            558                 Call 560 premie van 1,05</w:t>
      </w:r>
    </w:p>
    <w:p w:rsidR="00566335" w:rsidRDefault="00566335" w:rsidP="004A4D72">
      <w:pPr>
        <w:pStyle w:val="Normaalweb"/>
      </w:pPr>
      <w:r>
        <w:t>Te verkopen put                            522                 Put 520 premie van 1,60</w:t>
      </w:r>
    </w:p>
    <w:p w:rsidR="00566335" w:rsidRDefault="00566335" w:rsidP="00566335">
      <w:pPr>
        <w:pStyle w:val="Normaalweb"/>
      </w:pPr>
      <w:r>
        <w:t xml:space="preserve">Opbrengst per </w:t>
      </w:r>
      <w:r w:rsidR="00CC366E">
        <w:t>optiecontract</w:t>
      </w:r>
      <w:r>
        <w:t>                        100 *</w:t>
      </w:r>
      <w:r w:rsidR="009C0CD4">
        <w:t xml:space="preserve">€ </w:t>
      </w:r>
      <w:r>
        <w:t xml:space="preserve">2,65 = </w:t>
      </w:r>
      <w:r w:rsidR="009C0CD4">
        <w:t xml:space="preserve">€ </w:t>
      </w:r>
      <w:r>
        <w:t xml:space="preserve">265,- </w:t>
      </w:r>
    </w:p>
    <w:p w:rsidR="00566335" w:rsidRDefault="00566335" w:rsidP="00566335">
      <w:pPr>
        <w:pStyle w:val="Normaalweb"/>
      </w:pPr>
      <w:proofErr w:type="gramStart"/>
      <w:r>
        <w:t>Scenario:  2</w:t>
      </w:r>
      <w:proofErr w:type="gramEnd"/>
      <w:r>
        <w:t xml:space="preserve"> * de standaarddeviatie</w:t>
      </w:r>
    </w:p>
    <w:p w:rsidR="00566335" w:rsidRDefault="00566335" w:rsidP="00566335">
      <w:pPr>
        <w:pStyle w:val="Normaalweb"/>
      </w:pPr>
      <w:r>
        <w:t>Te verkopen call                            577                 Call 580 premie van 0,08 (varieert van 0,02 tot 0,10)</w:t>
      </w:r>
    </w:p>
    <w:p w:rsidR="00566335" w:rsidRDefault="00566335" w:rsidP="00566335">
      <w:pPr>
        <w:pStyle w:val="Normaalweb"/>
      </w:pPr>
      <w:r>
        <w:t>Te verkopen put                            503                 Put 500 premie van 0,83 (varieert van 0,45 tot 1,80)</w:t>
      </w:r>
    </w:p>
    <w:p w:rsidR="00566335" w:rsidRDefault="00566335" w:rsidP="00566335">
      <w:pPr>
        <w:pStyle w:val="Normaalweb"/>
      </w:pPr>
      <w:r>
        <w:t xml:space="preserve">Opbrengst per </w:t>
      </w:r>
      <w:r w:rsidR="00CC366E">
        <w:t>optiecontract</w:t>
      </w:r>
      <w:r>
        <w:t xml:space="preserve">                        100 *0,91 </w:t>
      </w:r>
      <w:r w:rsidR="009C0CD4">
        <w:t xml:space="preserve">= € </w:t>
      </w:r>
      <w:r>
        <w:t xml:space="preserve">91,- </w:t>
      </w:r>
    </w:p>
    <w:p w:rsidR="00566335" w:rsidRDefault="00566335" w:rsidP="00566335">
      <w:pPr>
        <w:pStyle w:val="Normaalweb"/>
      </w:pPr>
      <w:r>
        <w:lastRenderedPageBreak/>
        <w:t xml:space="preserve">Een maal per maand een </w:t>
      </w:r>
      <w:proofErr w:type="spellStart"/>
      <w:r>
        <w:t>strangle</w:t>
      </w:r>
      <w:proofErr w:type="spellEnd"/>
      <w:r>
        <w:t xml:space="preserve"> schrijven met een </w:t>
      </w:r>
      <w:r w:rsidR="00CC366E">
        <w:t>standaarddeviatie</w:t>
      </w:r>
      <w:r>
        <w:t xml:space="preserve"> van 2, afgerond naar de dichtstbijzijnde bestaande optie. Dus een </w:t>
      </w:r>
      <w:r w:rsidR="004A4D72">
        <w:t>calloptie</w:t>
      </w:r>
      <w:r>
        <w:t xml:space="preserve"> schrijven van (577) op 580 en een </w:t>
      </w:r>
      <w:r w:rsidR="00CC366E">
        <w:t>put</w:t>
      </w:r>
      <w:r>
        <w:t xml:space="preserve"> optie schrijven (503) op 500. Een spread van 40 naar boven en 40 naar beneden.</w:t>
      </w:r>
    </w:p>
    <w:p w:rsidR="00566335" w:rsidRDefault="00CC366E" w:rsidP="00566335">
      <w:pPr>
        <w:pStyle w:val="Normaalweb"/>
      </w:pPr>
      <w:r>
        <w:t xml:space="preserve">95 </w:t>
      </w:r>
      <w:r w:rsidR="00566335">
        <w:t xml:space="preserve">keer winst van </w:t>
      </w:r>
      <w:r w:rsidR="009C0CD4">
        <w:t>€</w:t>
      </w:r>
      <w:proofErr w:type="gramStart"/>
      <w:r w:rsidR="00566335">
        <w:t>90  =</w:t>
      </w:r>
      <w:proofErr w:type="gramEnd"/>
      <w:r w:rsidR="00566335">
        <w:t xml:space="preserve">                             </w:t>
      </w:r>
      <w:r w:rsidR="009C0CD4">
        <w:t>€</w:t>
      </w:r>
      <w:r w:rsidR="00566335">
        <w:t xml:space="preserve"> </w:t>
      </w:r>
      <w:r>
        <w:t>8</w:t>
      </w:r>
      <w:r w:rsidR="00566335">
        <w:t>.</w:t>
      </w:r>
      <w:r>
        <w:t>55</w:t>
      </w:r>
      <w:r w:rsidR="00566335">
        <w:t>0</w:t>
      </w:r>
    </w:p>
    <w:p w:rsidR="00CC366E" w:rsidRDefault="00CC366E" w:rsidP="00CC366E">
      <w:pPr>
        <w:pStyle w:val="Normaalweb"/>
      </w:pPr>
      <w:r>
        <w:t xml:space="preserve">5 keer verlies van </w:t>
      </w:r>
      <w:r w:rsidR="009C0CD4">
        <w:t>€</w:t>
      </w:r>
      <w:r>
        <w:t>??  =                              ?????</w:t>
      </w:r>
    </w:p>
    <w:p w:rsidR="007870CE" w:rsidRDefault="007870CE" w:rsidP="00566335">
      <w:pPr>
        <w:pStyle w:val="Normaalweb"/>
      </w:pPr>
      <w:r>
        <w:t>Wanneer de AEX door de grens gaat van 580 naar boven</w:t>
      </w:r>
      <w:r w:rsidR="004A4D72">
        <w:t>,</w:t>
      </w:r>
      <w:r>
        <w:t xml:space="preserve"> rollen we de opties door naar 580 plus 5% = 609 in dezelfde maand met het aantal opties dat nodig is om quitte te spelen. </w:t>
      </w:r>
    </w:p>
    <w:p w:rsidR="0011233D" w:rsidRDefault="0011233D" w:rsidP="00566335">
      <w:pPr>
        <w:pStyle w:val="Normaalweb"/>
      </w:pPr>
      <w:r>
        <w:t>Wanneer de AEX door de grens gaat van 500 naar beneden</w:t>
      </w:r>
      <w:r w:rsidR="009C0CD4">
        <w:t>,</w:t>
      </w:r>
      <w:r>
        <w:t xml:space="preserve"> dan rollen we door naar </w:t>
      </w:r>
      <w:r w:rsidR="004A4D72">
        <w:t xml:space="preserve">500 </w:t>
      </w:r>
      <w:r>
        <w:t>minus 5%</w:t>
      </w:r>
      <w:r w:rsidR="004A4D72">
        <w:t xml:space="preserve"> = 475 in dezelfde maand met het aantal opties dat nodig is om quitte te spelen.</w:t>
      </w:r>
    </w:p>
    <w:p w:rsidR="0033569E" w:rsidRDefault="007870CE" w:rsidP="00566335">
      <w:pPr>
        <w:pStyle w:val="Normaalweb"/>
      </w:pPr>
      <w:r>
        <w:t xml:space="preserve">Historisch is de grootste </w:t>
      </w:r>
      <w:r w:rsidR="0033569E">
        <w:t>AEX-uitslag</w:t>
      </w:r>
      <w:r>
        <w:t xml:space="preserve"> naar boven </w:t>
      </w:r>
      <w:r w:rsidR="0033569E">
        <w:t>17,52 %. En de grootste uitslag naar beneden 20,3 %</w:t>
      </w:r>
    </w:p>
    <w:p w:rsidR="007870CE" w:rsidRDefault="007870CE" w:rsidP="00566335">
      <w:pPr>
        <w:pStyle w:val="Normaalweb"/>
      </w:pPr>
      <w:r>
        <w:t xml:space="preserve">Dit blijven we doen bij stijging </w:t>
      </w:r>
      <w:r w:rsidR="0033569E">
        <w:t>zowel daling boven of beneden de</w:t>
      </w:r>
      <w:r>
        <w:t xml:space="preserve"> nieuwe limiet maar in het volgende ritme:</w:t>
      </w:r>
    </w:p>
    <w:tbl>
      <w:tblPr>
        <w:tblStyle w:val="Tabelraster"/>
        <w:tblW w:w="0" w:type="auto"/>
        <w:tblLook w:val="04A0" w:firstRow="1" w:lastRow="0" w:firstColumn="1" w:lastColumn="0" w:noHBand="0" w:noVBand="1"/>
      </w:tblPr>
      <w:tblGrid>
        <w:gridCol w:w="1509"/>
        <w:gridCol w:w="1509"/>
        <w:gridCol w:w="1509"/>
        <w:gridCol w:w="1509"/>
        <w:gridCol w:w="1510"/>
        <w:gridCol w:w="1510"/>
      </w:tblGrid>
      <w:tr w:rsidR="007870CE" w:rsidTr="007870CE">
        <w:tc>
          <w:tcPr>
            <w:tcW w:w="1509" w:type="dxa"/>
          </w:tcPr>
          <w:p w:rsidR="007870CE" w:rsidRDefault="007870CE" w:rsidP="00566335">
            <w:pPr>
              <w:pStyle w:val="Normaalweb"/>
            </w:pPr>
          </w:p>
        </w:tc>
        <w:tc>
          <w:tcPr>
            <w:tcW w:w="1509" w:type="dxa"/>
          </w:tcPr>
          <w:p w:rsidR="007870CE" w:rsidRDefault="007870CE" w:rsidP="00566335">
            <w:pPr>
              <w:pStyle w:val="Normaalweb"/>
            </w:pPr>
          </w:p>
        </w:tc>
        <w:tc>
          <w:tcPr>
            <w:tcW w:w="1509" w:type="dxa"/>
          </w:tcPr>
          <w:p w:rsidR="007870CE" w:rsidRDefault="007870CE" w:rsidP="00566335">
            <w:pPr>
              <w:pStyle w:val="Normaalweb"/>
            </w:pPr>
          </w:p>
        </w:tc>
        <w:tc>
          <w:tcPr>
            <w:tcW w:w="1509" w:type="dxa"/>
          </w:tcPr>
          <w:p w:rsidR="007870CE" w:rsidRDefault="007870CE" w:rsidP="00566335">
            <w:pPr>
              <w:pStyle w:val="Normaalweb"/>
            </w:pPr>
          </w:p>
        </w:tc>
        <w:tc>
          <w:tcPr>
            <w:tcW w:w="1510" w:type="dxa"/>
          </w:tcPr>
          <w:p w:rsidR="007870CE" w:rsidRPr="004A4D72" w:rsidRDefault="007870CE" w:rsidP="004A4D72">
            <w:pPr>
              <w:pStyle w:val="Normaalweb"/>
              <w:jc w:val="center"/>
              <w:rPr>
                <w:b/>
              </w:rPr>
            </w:pPr>
          </w:p>
        </w:tc>
        <w:tc>
          <w:tcPr>
            <w:tcW w:w="1510" w:type="dxa"/>
          </w:tcPr>
          <w:p w:rsidR="007870CE" w:rsidRPr="004A4D72" w:rsidRDefault="0033569E" w:rsidP="004A4D72">
            <w:pPr>
              <w:pStyle w:val="Normaalweb"/>
              <w:jc w:val="center"/>
              <w:rPr>
                <w:b/>
              </w:rPr>
            </w:pPr>
            <w:r w:rsidRPr="004A4D72">
              <w:rPr>
                <w:b/>
              </w:rPr>
              <w:t>0,4%</w:t>
            </w:r>
          </w:p>
        </w:tc>
      </w:tr>
      <w:tr w:rsidR="007870CE" w:rsidTr="007870CE">
        <w:tc>
          <w:tcPr>
            <w:tcW w:w="1509" w:type="dxa"/>
          </w:tcPr>
          <w:p w:rsidR="007870CE" w:rsidRDefault="007870CE" w:rsidP="00566335">
            <w:pPr>
              <w:pStyle w:val="Normaalweb"/>
            </w:pPr>
          </w:p>
        </w:tc>
        <w:tc>
          <w:tcPr>
            <w:tcW w:w="1509" w:type="dxa"/>
          </w:tcPr>
          <w:p w:rsidR="007870CE" w:rsidRDefault="007870CE" w:rsidP="00566335">
            <w:pPr>
              <w:pStyle w:val="Normaalweb"/>
            </w:pPr>
          </w:p>
        </w:tc>
        <w:tc>
          <w:tcPr>
            <w:tcW w:w="1509" w:type="dxa"/>
          </w:tcPr>
          <w:p w:rsidR="007870CE" w:rsidRDefault="007870CE" w:rsidP="00566335">
            <w:pPr>
              <w:pStyle w:val="Normaalweb"/>
            </w:pPr>
          </w:p>
        </w:tc>
        <w:tc>
          <w:tcPr>
            <w:tcW w:w="1509" w:type="dxa"/>
          </w:tcPr>
          <w:p w:rsidR="007870CE" w:rsidRPr="004A4D72" w:rsidRDefault="007870CE" w:rsidP="004A4D72">
            <w:pPr>
              <w:pStyle w:val="Normaalweb"/>
              <w:jc w:val="center"/>
              <w:rPr>
                <w:b/>
              </w:rPr>
            </w:pPr>
          </w:p>
        </w:tc>
        <w:tc>
          <w:tcPr>
            <w:tcW w:w="1510" w:type="dxa"/>
          </w:tcPr>
          <w:p w:rsidR="007870CE" w:rsidRPr="004A4D72" w:rsidRDefault="0033569E" w:rsidP="004A4D72">
            <w:pPr>
              <w:pStyle w:val="Normaalweb"/>
              <w:jc w:val="center"/>
              <w:rPr>
                <w:b/>
              </w:rPr>
            </w:pPr>
            <w:r w:rsidRPr="004A4D72">
              <w:rPr>
                <w:b/>
              </w:rPr>
              <w:t>2%</w:t>
            </w:r>
          </w:p>
        </w:tc>
        <w:tc>
          <w:tcPr>
            <w:tcW w:w="1510" w:type="dxa"/>
          </w:tcPr>
          <w:p w:rsidR="007870CE" w:rsidRDefault="0033569E" w:rsidP="00566335">
            <w:pPr>
              <w:pStyle w:val="Normaalweb"/>
            </w:pPr>
            <w:r>
              <w:t>636,14</w:t>
            </w:r>
          </w:p>
        </w:tc>
      </w:tr>
      <w:tr w:rsidR="007870CE" w:rsidTr="007870CE">
        <w:tc>
          <w:tcPr>
            <w:tcW w:w="1509" w:type="dxa"/>
          </w:tcPr>
          <w:p w:rsidR="007870CE" w:rsidRDefault="007870CE" w:rsidP="00566335">
            <w:pPr>
              <w:pStyle w:val="Normaalweb"/>
            </w:pPr>
          </w:p>
        </w:tc>
        <w:tc>
          <w:tcPr>
            <w:tcW w:w="1509" w:type="dxa"/>
          </w:tcPr>
          <w:p w:rsidR="007870CE" w:rsidRDefault="007870CE" w:rsidP="00566335">
            <w:pPr>
              <w:pStyle w:val="Normaalweb"/>
            </w:pPr>
          </w:p>
        </w:tc>
        <w:tc>
          <w:tcPr>
            <w:tcW w:w="1509" w:type="dxa"/>
          </w:tcPr>
          <w:p w:rsidR="007870CE" w:rsidRDefault="007870CE" w:rsidP="00566335">
            <w:pPr>
              <w:pStyle w:val="Normaalweb"/>
            </w:pPr>
          </w:p>
        </w:tc>
        <w:tc>
          <w:tcPr>
            <w:tcW w:w="1509" w:type="dxa"/>
          </w:tcPr>
          <w:p w:rsidR="007870CE" w:rsidRPr="004A4D72" w:rsidRDefault="0033569E" w:rsidP="004A4D72">
            <w:pPr>
              <w:pStyle w:val="Normaalweb"/>
              <w:jc w:val="center"/>
              <w:rPr>
                <w:b/>
              </w:rPr>
            </w:pPr>
            <w:r w:rsidRPr="004A4D72">
              <w:rPr>
                <w:b/>
              </w:rPr>
              <w:t>2%</w:t>
            </w:r>
          </w:p>
        </w:tc>
        <w:tc>
          <w:tcPr>
            <w:tcW w:w="1510" w:type="dxa"/>
          </w:tcPr>
          <w:p w:rsidR="007870CE" w:rsidRDefault="0033569E" w:rsidP="00566335">
            <w:pPr>
              <w:pStyle w:val="Normaalweb"/>
            </w:pPr>
            <w:r>
              <w:t>633,6</w:t>
            </w:r>
          </w:p>
        </w:tc>
        <w:tc>
          <w:tcPr>
            <w:tcW w:w="1510" w:type="dxa"/>
          </w:tcPr>
          <w:p w:rsidR="007870CE" w:rsidRDefault="007870CE" w:rsidP="00566335">
            <w:pPr>
              <w:pStyle w:val="Normaalweb"/>
            </w:pPr>
          </w:p>
        </w:tc>
      </w:tr>
      <w:tr w:rsidR="007870CE" w:rsidTr="007870CE">
        <w:tc>
          <w:tcPr>
            <w:tcW w:w="1509" w:type="dxa"/>
          </w:tcPr>
          <w:p w:rsidR="007870CE" w:rsidRDefault="007870CE" w:rsidP="00566335">
            <w:pPr>
              <w:pStyle w:val="Normaalweb"/>
            </w:pPr>
          </w:p>
        </w:tc>
        <w:tc>
          <w:tcPr>
            <w:tcW w:w="1509" w:type="dxa"/>
          </w:tcPr>
          <w:p w:rsidR="007870CE" w:rsidRDefault="007870CE" w:rsidP="004A4D72">
            <w:pPr>
              <w:pStyle w:val="Normaalweb"/>
              <w:jc w:val="center"/>
            </w:pPr>
          </w:p>
        </w:tc>
        <w:tc>
          <w:tcPr>
            <w:tcW w:w="1509" w:type="dxa"/>
          </w:tcPr>
          <w:p w:rsidR="007870CE" w:rsidRPr="004A4D72" w:rsidRDefault="0033569E" w:rsidP="004A4D72">
            <w:pPr>
              <w:pStyle w:val="Normaalweb"/>
              <w:jc w:val="center"/>
              <w:rPr>
                <w:b/>
              </w:rPr>
            </w:pPr>
            <w:r w:rsidRPr="004A4D72">
              <w:rPr>
                <w:b/>
              </w:rPr>
              <w:t>5%</w:t>
            </w:r>
          </w:p>
        </w:tc>
        <w:tc>
          <w:tcPr>
            <w:tcW w:w="1509" w:type="dxa"/>
          </w:tcPr>
          <w:p w:rsidR="007870CE" w:rsidRDefault="0033569E" w:rsidP="00566335">
            <w:pPr>
              <w:pStyle w:val="Normaalweb"/>
            </w:pPr>
            <w:r>
              <w:t>621,18</w:t>
            </w:r>
          </w:p>
        </w:tc>
        <w:tc>
          <w:tcPr>
            <w:tcW w:w="1510" w:type="dxa"/>
          </w:tcPr>
          <w:p w:rsidR="007870CE" w:rsidRDefault="007870CE" w:rsidP="00566335">
            <w:pPr>
              <w:pStyle w:val="Normaalweb"/>
            </w:pPr>
          </w:p>
        </w:tc>
        <w:tc>
          <w:tcPr>
            <w:tcW w:w="1510" w:type="dxa"/>
          </w:tcPr>
          <w:p w:rsidR="007870CE" w:rsidRDefault="007870CE" w:rsidP="00566335">
            <w:pPr>
              <w:pStyle w:val="Normaalweb"/>
            </w:pPr>
          </w:p>
        </w:tc>
      </w:tr>
      <w:tr w:rsidR="007870CE" w:rsidTr="007870CE">
        <w:tc>
          <w:tcPr>
            <w:tcW w:w="1509" w:type="dxa"/>
          </w:tcPr>
          <w:p w:rsidR="007870CE" w:rsidRDefault="007870CE" w:rsidP="00566335">
            <w:pPr>
              <w:pStyle w:val="Normaalweb"/>
            </w:pPr>
          </w:p>
        </w:tc>
        <w:tc>
          <w:tcPr>
            <w:tcW w:w="1509" w:type="dxa"/>
          </w:tcPr>
          <w:p w:rsidR="007870CE" w:rsidRDefault="007870CE" w:rsidP="00566335">
            <w:pPr>
              <w:pStyle w:val="Normaalweb"/>
            </w:pPr>
          </w:p>
        </w:tc>
        <w:tc>
          <w:tcPr>
            <w:tcW w:w="1509" w:type="dxa"/>
          </w:tcPr>
          <w:p w:rsidR="007870CE" w:rsidRDefault="0033569E" w:rsidP="00566335">
            <w:pPr>
              <w:pStyle w:val="Normaalweb"/>
            </w:pPr>
            <w:r>
              <w:t>609</w:t>
            </w:r>
          </w:p>
        </w:tc>
        <w:tc>
          <w:tcPr>
            <w:tcW w:w="1509" w:type="dxa"/>
          </w:tcPr>
          <w:p w:rsidR="007870CE" w:rsidRDefault="007870CE" w:rsidP="00566335">
            <w:pPr>
              <w:pStyle w:val="Normaalweb"/>
            </w:pPr>
          </w:p>
        </w:tc>
        <w:tc>
          <w:tcPr>
            <w:tcW w:w="1510" w:type="dxa"/>
          </w:tcPr>
          <w:p w:rsidR="007870CE" w:rsidRDefault="007870CE" w:rsidP="00566335">
            <w:pPr>
              <w:pStyle w:val="Normaalweb"/>
            </w:pPr>
          </w:p>
        </w:tc>
        <w:tc>
          <w:tcPr>
            <w:tcW w:w="1510" w:type="dxa"/>
          </w:tcPr>
          <w:p w:rsidR="007870CE" w:rsidRDefault="007870CE" w:rsidP="00566335">
            <w:pPr>
              <w:pStyle w:val="Normaalweb"/>
            </w:pPr>
          </w:p>
        </w:tc>
      </w:tr>
      <w:tr w:rsidR="007870CE" w:rsidTr="007870CE">
        <w:tc>
          <w:tcPr>
            <w:tcW w:w="1509" w:type="dxa"/>
          </w:tcPr>
          <w:p w:rsidR="007870CE" w:rsidRDefault="007870CE" w:rsidP="00566335">
            <w:pPr>
              <w:pStyle w:val="Normaalweb"/>
            </w:pPr>
          </w:p>
        </w:tc>
        <w:tc>
          <w:tcPr>
            <w:tcW w:w="1509" w:type="dxa"/>
          </w:tcPr>
          <w:p w:rsidR="007870CE" w:rsidRDefault="007870CE" w:rsidP="00566335">
            <w:pPr>
              <w:pStyle w:val="Normaalweb"/>
            </w:pPr>
            <w:r>
              <w:t>580</w:t>
            </w:r>
          </w:p>
        </w:tc>
        <w:tc>
          <w:tcPr>
            <w:tcW w:w="1509" w:type="dxa"/>
          </w:tcPr>
          <w:p w:rsidR="007870CE" w:rsidRDefault="007870CE" w:rsidP="00566335">
            <w:pPr>
              <w:pStyle w:val="Normaalweb"/>
            </w:pPr>
          </w:p>
        </w:tc>
        <w:tc>
          <w:tcPr>
            <w:tcW w:w="1509" w:type="dxa"/>
          </w:tcPr>
          <w:p w:rsidR="007870CE" w:rsidRDefault="007870CE" w:rsidP="00566335">
            <w:pPr>
              <w:pStyle w:val="Normaalweb"/>
            </w:pPr>
          </w:p>
        </w:tc>
        <w:tc>
          <w:tcPr>
            <w:tcW w:w="1510" w:type="dxa"/>
          </w:tcPr>
          <w:p w:rsidR="007870CE" w:rsidRDefault="007870CE" w:rsidP="00566335">
            <w:pPr>
              <w:pStyle w:val="Normaalweb"/>
            </w:pPr>
          </w:p>
        </w:tc>
        <w:tc>
          <w:tcPr>
            <w:tcW w:w="1510" w:type="dxa"/>
          </w:tcPr>
          <w:p w:rsidR="007870CE" w:rsidRDefault="007870CE" w:rsidP="00566335">
            <w:pPr>
              <w:pStyle w:val="Normaalweb"/>
            </w:pPr>
          </w:p>
        </w:tc>
      </w:tr>
      <w:tr w:rsidR="007870CE" w:rsidTr="007870CE">
        <w:tc>
          <w:tcPr>
            <w:tcW w:w="1509" w:type="dxa"/>
          </w:tcPr>
          <w:p w:rsidR="007870CE" w:rsidRDefault="007870CE" w:rsidP="00566335">
            <w:pPr>
              <w:pStyle w:val="Normaalweb"/>
            </w:pPr>
            <w:r>
              <w:t>540</w:t>
            </w:r>
          </w:p>
        </w:tc>
        <w:tc>
          <w:tcPr>
            <w:tcW w:w="1509" w:type="dxa"/>
          </w:tcPr>
          <w:p w:rsidR="007870CE" w:rsidRDefault="007870CE" w:rsidP="00566335">
            <w:pPr>
              <w:pStyle w:val="Normaalweb"/>
            </w:pPr>
          </w:p>
        </w:tc>
        <w:tc>
          <w:tcPr>
            <w:tcW w:w="1509" w:type="dxa"/>
          </w:tcPr>
          <w:p w:rsidR="007870CE" w:rsidRDefault="007870CE" w:rsidP="00566335">
            <w:pPr>
              <w:pStyle w:val="Normaalweb"/>
            </w:pPr>
          </w:p>
        </w:tc>
        <w:tc>
          <w:tcPr>
            <w:tcW w:w="1509" w:type="dxa"/>
          </w:tcPr>
          <w:p w:rsidR="007870CE" w:rsidRDefault="007870CE" w:rsidP="00566335">
            <w:pPr>
              <w:pStyle w:val="Normaalweb"/>
            </w:pPr>
          </w:p>
        </w:tc>
        <w:tc>
          <w:tcPr>
            <w:tcW w:w="1510" w:type="dxa"/>
          </w:tcPr>
          <w:p w:rsidR="007870CE" w:rsidRDefault="007870CE" w:rsidP="00566335">
            <w:pPr>
              <w:pStyle w:val="Normaalweb"/>
            </w:pPr>
          </w:p>
        </w:tc>
        <w:tc>
          <w:tcPr>
            <w:tcW w:w="1510" w:type="dxa"/>
          </w:tcPr>
          <w:p w:rsidR="007870CE" w:rsidRDefault="007870CE" w:rsidP="00566335">
            <w:pPr>
              <w:pStyle w:val="Normaalweb"/>
            </w:pPr>
          </w:p>
        </w:tc>
      </w:tr>
      <w:tr w:rsidR="007870CE" w:rsidTr="007870CE">
        <w:tc>
          <w:tcPr>
            <w:tcW w:w="1509" w:type="dxa"/>
          </w:tcPr>
          <w:p w:rsidR="007870CE" w:rsidRDefault="007870CE" w:rsidP="00566335">
            <w:pPr>
              <w:pStyle w:val="Normaalweb"/>
            </w:pPr>
          </w:p>
        </w:tc>
        <w:tc>
          <w:tcPr>
            <w:tcW w:w="1509" w:type="dxa"/>
          </w:tcPr>
          <w:p w:rsidR="007870CE" w:rsidRDefault="007870CE" w:rsidP="00566335">
            <w:pPr>
              <w:pStyle w:val="Normaalweb"/>
            </w:pPr>
            <w:r>
              <w:t>500</w:t>
            </w:r>
          </w:p>
        </w:tc>
        <w:tc>
          <w:tcPr>
            <w:tcW w:w="1509" w:type="dxa"/>
          </w:tcPr>
          <w:p w:rsidR="007870CE" w:rsidRDefault="007870CE" w:rsidP="00566335">
            <w:pPr>
              <w:pStyle w:val="Normaalweb"/>
            </w:pPr>
          </w:p>
        </w:tc>
        <w:tc>
          <w:tcPr>
            <w:tcW w:w="1509" w:type="dxa"/>
          </w:tcPr>
          <w:p w:rsidR="007870CE" w:rsidRDefault="007870CE" w:rsidP="00566335">
            <w:pPr>
              <w:pStyle w:val="Normaalweb"/>
            </w:pPr>
          </w:p>
        </w:tc>
        <w:tc>
          <w:tcPr>
            <w:tcW w:w="1510" w:type="dxa"/>
          </w:tcPr>
          <w:p w:rsidR="007870CE" w:rsidRDefault="007870CE" w:rsidP="00566335">
            <w:pPr>
              <w:pStyle w:val="Normaalweb"/>
            </w:pPr>
          </w:p>
        </w:tc>
        <w:tc>
          <w:tcPr>
            <w:tcW w:w="1510" w:type="dxa"/>
          </w:tcPr>
          <w:p w:rsidR="007870CE" w:rsidRDefault="007870CE" w:rsidP="00566335">
            <w:pPr>
              <w:pStyle w:val="Normaalweb"/>
            </w:pPr>
          </w:p>
        </w:tc>
      </w:tr>
      <w:tr w:rsidR="007870CE" w:rsidTr="007870CE">
        <w:tc>
          <w:tcPr>
            <w:tcW w:w="1509" w:type="dxa"/>
          </w:tcPr>
          <w:p w:rsidR="007870CE" w:rsidRDefault="007870CE" w:rsidP="00566335">
            <w:pPr>
              <w:pStyle w:val="Normaalweb"/>
            </w:pPr>
          </w:p>
        </w:tc>
        <w:tc>
          <w:tcPr>
            <w:tcW w:w="1509" w:type="dxa"/>
          </w:tcPr>
          <w:p w:rsidR="007870CE" w:rsidRDefault="007870CE" w:rsidP="00566335">
            <w:pPr>
              <w:pStyle w:val="Normaalweb"/>
            </w:pPr>
          </w:p>
        </w:tc>
        <w:tc>
          <w:tcPr>
            <w:tcW w:w="1509" w:type="dxa"/>
          </w:tcPr>
          <w:p w:rsidR="007870CE" w:rsidRDefault="0033569E" w:rsidP="00566335">
            <w:pPr>
              <w:pStyle w:val="Normaalweb"/>
            </w:pPr>
            <w:r>
              <w:t>475</w:t>
            </w:r>
          </w:p>
        </w:tc>
        <w:tc>
          <w:tcPr>
            <w:tcW w:w="1509" w:type="dxa"/>
          </w:tcPr>
          <w:p w:rsidR="007870CE" w:rsidRDefault="007870CE" w:rsidP="00566335">
            <w:pPr>
              <w:pStyle w:val="Normaalweb"/>
            </w:pPr>
          </w:p>
        </w:tc>
        <w:tc>
          <w:tcPr>
            <w:tcW w:w="1510" w:type="dxa"/>
          </w:tcPr>
          <w:p w:rsidR="007870CE" w:rsidRDefault="007870CE" w:rsidP="00566335">
            <w:pPr>
              <w:pStyle w:val="Normaalweb"/>
            </w:pPr>
          </w:p>
        </w:tc>
        <w:tc>
          <w:tcPr>
            <w:tcW w:w="1510" w:type="dxa"/>
          </w:tcPr>
          <w:p w:rsidR="007870CE" w:rsidRDefault="007870CE" w:rsidP="00566335">
            <w:pPr>
              <w:pStyle w:val="Normaalweb"/>
            </w:pPr>
          </w:p>
        </w:tc>
      </w:tr>
      <w:tr w:rsidR="007870CE" w:rsidTr="007870CE">
        <w:tc>
          <w:tcPr>
            <w:tcW w:w="1509" w:type="dxa"/>
          </w:tcPr>
          <w:p w:rsidR="007870CE" w:rsidRDefault="007870CE" w:rsidP="00566335">
            <w:pPr>
              <w:pStyle w:val="Normaalweb"/>
            </w:pPr>
          </w:p>
        </w:tc>
        <w:tc>
          <w:tcPr>
            <w:tcW w:w="1509" w:type="dxa"/>
          </w:tcPr>
          <w:p w:rsidR="007870CE" w:rsidRDefault="007870CE" w:rsidP="00566335">
            <w:pPr>
              <w:pStyle w:val="Normaalweb"/>
            </w:pPr>
          </w:p>
        </w:tc>
        <w:tc>
          <w:tcPr>
            <w:tcW w:w="1509" w:type="dxa"/>
          </w:tcPr>
          <w:p w:rsidR="007870CE" w:rsidRPr="004A4D72" w:rsidRDefault="0033569E" w:rsidP="00566335">
            <w:pPr>
              <w:pStyle w:val="Normaalweb"/>
              <w:rPr>
                <w:b/>
              </w:rPr>
            </w:pPr>
            <w:r w:rsidRPr="004A4D72">
              <w:rPr>
                <w:b/>
              </w:rPr>
              <w:t>5%</w:t>
            </w:r>
          </w:p>
        </w:tc>
        <w:tc>
          <w:tcPr>
            <w:tcW w:w="1509" w:type="dxa"/>
          </w:tcPr>
          <w:p w:rsidR="007870CE" w:rsidRDefault="0033569E" w:rsidP="00566335">
            <w:pPr>
              <w:pStyle w:val="Normaalweb"/>
            </w:pPr>
            <w:r>
              <w:t>456</w:t>
            </w:r>
          </w:p>
        </w:tc>
        <w:tc>
          <w:tcPr>
            <w:tcW w:w="1510" w:type="dxa"/>
          </w:tcPr>
          <w:p w:rsidR="007870CE" w:rsidRDefault="007870CE" w:rsidP="00566335">
            <w:pPr>
              <w:pStyle w:val="Normaalweb"/>
            </w:pPr>
          </w:p>
        </w:tc>
        <w:tc>
          <w:tcPr>
            <w:tcW w:w="1510" w:type="dxa"/>
          </w:tcPr>
          <w:p w:rsidR="007870CE" w:rsidRDefault="007870CE" w:rsidP="00566335">
            <w:pPr>
              <w:pStyle w:val="Normaalweb"/>
            </w:pPr>
          </w:p>
        </w:tc>
      </w:tr>
      <w:tr w:rsidR="007870CE" w:rsidTr="007870CE">
        <w:tc>
          <w:tcPr>
            <w:tcW w:w="1509" w:type="dxa"/>
          </w:tcPr>
          <w:p w:rsidR="007870CE" w:rsidRDefault="007870CE" w:rsidP="00566335">
            <w:pPr>
              <w:pStyle w:val="Normaalweb"/>
            </w:pPr>
          </w:p>
        </w:tc>
        <w:tc>
          <w:tcPr>
            <w:tcW w:w="1509" w:type="dxa"/>
          </w:tcPr>
          <w:p w:rsidR="007870CE" w:rsidRDefault="007870CE" w:rsidP="00566335">
            <w:pPr>
              <w:pStyle w:val="Normaalweb"/>
            </w:pPr>
          </w:p>
        </w:tc>
        <w:tc>
          <w:tcPr>
            <w:tcW w:w="1509" w:type="dxa"/>
          </w:tcPr>
          <w:p w:rsidR="007870CE" w:rsidRPr="004A4D72" w:rsidRDefault="007870CE" w:rsidP="00566335">
            <w:pPr>
              <w:pStyle w:val="Normaalweb"/>
              <w:rPr>
                <w:b/>
              </w:rPr>
            </w:pPr>
          </w:p>
        </w:tc>
        <w:tc>
          <w:tcPr>
            <w:tcW w:w="1509" w:type="dxa"/>
          </w:tcPr>
          <w:p w:rsidR="007870CE" w:rsidRPr="004A4D72" w:rsidRDefault="0033569E" w:rsidP="00566335">
            <w:pPr>
              <w:pStyle w:val="Normaalweb"/>
              <w:rPr>
                <w:b/>
              </w:rPr>
            </w:pPr>
            <w:r w:rsidRPr="004A4D72">
              <w:rPr>
                <w:b/>
              </w:rPr>
              <w:t>4%</w:t>
            </w:r>
          </w:p>
        </w:tc>
        <w:tc>
          <w:tcPr>
            <w:tcW w:w="1510" w:type="dxa"/>
          </w:tcPr>
          <w:p w:rsidR="007870CE" w:rsidRDefault="0033569E" w:rsidP="00566335">
            <w:pPr>
              <w:pStyle w:val="Normaalweb"/>
            </w:pPr>
            <w:r>
              <w:t>442,32</w:t>
            </w:r>
          </w:p>
        </w:tc>
        <w:tc>
          <w:tcPr>
            <w:tcW w:w="1510" w:type="dxa"/>
          </w:tcPr>
          <w:p w:rsidR="007870CE" w:rsidRDefault="007870CE" w:rsidP="00566335">
            <w:pPr>
              <w:pStyle w:val="Normaalweb"/>
            </w:pPr>
          </w:p>
        </w:tc>
      </w:tr>
      <w:tr w:rsidR="007870CE" w:rsidTr="007870CE">
        <w:tc>
          <w:tcPr>
            <w:tcW w:w="1509" w:type="dxa"/>
          </w:tcPr>
          <w:p w:rsidR="007870CE" w:rsidRDefault="007870CE" w:rsidP="00566335">
            <w:pPr>
              <w:pStyle w:val="Normaalweb"/>
            </w:pPr>
          </w:p>
        </w:tc>
        <w:tc>
          <w:tcPr>
            <w:tcW w:w="1509" w:type="dxa"/>
          </w:tcPr>
          <w:p w:rsidR="007870CE" w:rsidRDefault="007870CE" w:rsidP="00566335">
            <w:pPr>
              <w:pStyle w:val="Normaalweb"/>
            </w:pPr>
          </w:p>
        </w:tc>
        <w:tc>
          <w:tcPr>
            <w:tcW w:w="1509" w:type="dxa"/>
          </w:tcPr>
          <w:p w:rsidR="007870CE" w:rsidRDefault="007870CE" w:rsidP="00566335">
            <w:pPr>
              <w:pStyle w:val="Normaalweb"/>
            </w:pPr>
          </w:p>
        </w:tc>
        <w:tc>
          <w:tcPr>
            <w:tcW w:w="1509" w:type="dxa"/>
          </w:tcPr>
          <w:p w:rsidR="007870CE" w:rsidRDefault="007870CE" w:rsidP="00566335">
            <w:pPr>
              <w:pStyle w:val="Normaalweb"/>
            </w:pPr>
          </w:p>
        </w:tc>
        <w:tc>
          <w:tcPr>
            <w:tcW w:w="1510" w:type="dxa"/>
          </w:tcPr>
          <w:p w:rsidR="007870CE" w:rsidRPr="004A4D72" w:rsidRDefault="0033569E" w:rsidP="00566335">
            <w:pPr>
              <w:pStyle w:val="Normaalweb"/>
              <w:rPr>
                <w:b/>
              </w:rPr>
            </w:pPr>
            <w:r w:rsidRPr="004A4D72">
              <w:rPr>
                <w:b/>
              </w:rPr>
              <w:t>3%</w:t>
            </w:r>
          </w:p>
        </w:tc>
        <w:tc>
          <w:tcPr>
            <w:tcW w:w="1510" w:type="dxa"/>
          </w:tcPr>
          <w:p w:rsidR="007870CE" w:rsidRDefault="0033569E" w:rsidP="00566335">
            <w:pPr>
              <w:pStyle w:val="Normaalweb"/>
            </w:pPr>
            <w:r>
              <w:t>429,04</w:t>
            </w:r>
          </w:p>
        </w:tc>
      </w:tr>
      <w:tr w:rsidR="0033569E" w:rsidTr="007870CE">
        <w:tc>
          <w:tcPr>
            <w:tcW w:w="1509" w:type="dxa"/>
          </w:tcPr>
          <w:p w:rsidR="0033569E" w:rsidRDefault="0033569E" w:rsidP="00566335">
            <w:pPr>
              <w:pStyle w:val="Normaalweb"/>
            </w:pPr>
          </w:p>
        </w:tc>
        <w:tc>
          <w:tcPr>
            <w:tcW w:w="1509" w:type="dxa"/>
          </w:tcPr>
          <w:p w:rsidR="0033569E" w:rsidRDefault="0033569E" w:rsidP="00566335">
            <w:pPr>
              <w:pStyle w:val="Normaalweb"/>
            </w:pPr>
          </w:p>
        </w:tc>
        <w:tc>
          <w:tcPr>
            <w:tcW w:w="1509" w:type="dxa"/>
          </w:tcPr>
          <w:p w:rsidR="0033569E" w:rsidRDefault="0033569E" w:rsidP="00566335">
            <w:pPr>
              <w:pStyle w:val="Normaalweb"/>
            </w:pPr>
          </w:p>
        </w:tc>
        <w:tc>
          <w:tcPr>
            <w:tcW w:w="1509" w:type="dxa"/>
          </w:tcPr>
          <w:p w:rsidR="0033569E" w:rsidRDefault="0033569E" w:rsidP="00566335">
            <w:pPr>
              <w:pStyle w:val="Normaalweb"/>
            </w:pPr>
          </w:p>
        </w:tc>
        <w:tc>
          <w:tcPr>
            <w:tcW w:w="1510" w:type="dxa"/>
          </w:tcPr>
          <w:p w:rsidR="0033569E" w:rsidRDefault="0033569E" w:rsidP="00566335">
            <w:pPr>
              <w:pStyle w:val="Normaalweb"/>
            </w:pPr>
          </w:p>
        </w:tc>
        <w:tc>
          <w:tcPr>
            <w:tcW w:w="1510" w:type="dxa"/>
          </w:tcPr>
          <w:p w:rsidR="0033569E" w:rsidRPr="004A4D72" w:rsidRDefault="0033569E" w:rsidP="00566335">
            <w:pPr>
              <w:pStyle w:val="Normaalweb"/>
              <w:rPr>
                <w:b/>
              </w:rPr>
            </w:pPr>
            <w:r w:rsidRPr="004A4D72">
              <w:rPr>
                <w:b/>
              </w:rPr>
              <w:t>3%</w:t>
            </w:r>
          </w:p>
        </w:tc>
      </w:tr>
      <w:tr w:rsidR="004A4D72" w:rsidTr="007870CE">
        <w:tc>
          <w:tcPr>
            <w:tcW w:w="1509" w:type="dxa"/>
          </w:tcPr>
          <w:p w:rsidR="004A4D72" w:rsidRDefault="004A4D72" w:rsidP="00566335">
            <w:pPr>
              <w:pStyle w:val="Normaalweb"/>
            </w:pPr>
          </w:p>
        </w:tc>
        <w:tc>
          <w:tcPr>
            <w:tcW w:w="1509" w:type="dxa"/>
          </w:tcPr>
          <w:p w:rsidR="004A4D72" w:rsidRDefault="004A4D72" w:rsidP="00566335">
            <w:pPr>
              <w:pStyle w:val="Normaalweb"/>
            </w:pPr>
          </w:p>
        </w:tc>
        <w:tc>
          <w:tcPr>
            <w:tcW w:w="1509" w:type="dxa"/>
          </w:tcPr>
          <w:p w:rsidR="004A4D72" w:rsidRDefault="004A4D72" w:rsidP="00566335">
            <w:pPr>
              <w:pStyle w:val="Normaalweb"/>
            </w:pPr>
          </w:p>
        </w:tc>
        <w:tc>
          <w:tcPr>
            <w:tcW w:w="1509" w:type="dxa"/>
          </w:tcPr>
          <w:p w:rsidR="004A4D72" w:rsidRDefault="004A4D72" w:rsidP="00566335">
            <w:pPr>
              <w:pStyle w:val="Normaalweb"/>
            </w:pPr>
          </w:p>
        </w:tc>
        <w:tc>
          <w:tcPr>
            <w:tcW w:w="1510" w:type="dxa"/>
          </w:tcPr>
          <w:p w:rsidR="004A4D72" w:rsidRDefault="004A4D72" w:rsidP="00566335">
            <w:pPr>
              <w:pStyle w:val="Normaalweb"/>
            </w:pPr>
          </w:p>
        </w:tc>
        <w:tc>
          <w:tcPr>
            <w:tcW w:w="1510" w:type="dxa"/>
          </w:tcPr>
          <w:p w:rsidR="004A4D72" w:rsidRPr="004A4D72" w:rsidRDefault="004A4D72" w:rsidP="00566335">
            <w:pPr>
              <w:pStyle w:val="Normaalweb"/>
              <w:rPr>
                <w:b/>
              </w:rPr>
            </w:pPr>
          </w:p>
        </w:tc>
      </w:tr>
      <w:tr w:rsidR="007870CE" w:rsidTr="007870CE">
        <w:tc>
          <w:tcPr>
            <w:tcW w:w="1509" w:type="dxa"/>
          </w:tcPr>
          <w:p w:rsidR="007870CE" w:rsidRDefault="007870CE" w:rsidP="00566335">
            <w:pPr>
              <w:pStyle w:val="Normaalweb"/>
            </w:pPr>
          </w:p>
        </w:tc>
        <w:tc>
          <w:tcPr>
            <w:tcW w:w="1509" w:type="dxa"/>
          </w:tcPr>
          <w:p w:rsidR="007870CE" w:rsidRDefault="007870CE" w:rsidP="00566335">
            <w:pPr>
              <w:pStyle w:val="Normaalweb"/>
            </w:pPr>
          </w:p>
        </w:tc>
        <w:tc>
          <w:tcPr>
            <w:tcW w:w="1509" w:type="dxa"/>
          </w:tcPr>
          <w:p w:rsidR="007870CE" w:rsidRDefault="007870CE" w:rsidP="00566335">
            <w:pPr>
              <w:pStyle w:val="Normaalweb"/>
            </w:pPr>
            <w:r>
              <w:t>Week I</w:t>
            </w:r>
          </w:p>
        </w:tc>
        <w:tc>
          <w:tcPr>
            <w:tcW w:w="1509" w:type="dxa"/>
          </w:tcPr>
          <w:p w:rsidR="007870CE" w:rsidRDefault="007870CE" w:rsidP="00566335">
            <w:pPr>
              <w:pStyle w:val="Normaalweb"/>
            </w:pPr>
            <w:r>
              <w:t>Week</w:t>
            </w:r>
            <w:r w:rsidR="00167B8E">
              <w:t xml:space="preserve"> </w:t>
            </w:r>
            <w:r>
              <w:t>II</w:t>
            </w:r>
          </w:p>
        </w:tc>
        <w:tc>
          <w:tcPr>
            <w:tcW w:w="1510" w:type="dxa"/>
          </w:tcPr>
          <w:p w:rsidR="007870CE" w:rsidRDefault="007870CE" w:rsidP="00566335">
            <w:pPr>
              <w:pStyle w:val="Normaalweb"/>
            </w:pPr>
            <w:r>
              <w:t>Week III</w:t>
            </w:r>
          </w:p>
        </w:tc>
        <w:tc>
          <w:tcPr>
            <w:tcW w:w="1510" w:type="dxa"/>
          </w:tcPr>
          <w:p w:rsidR="007870CE" w:rsidRDefault="007870CE" w:rsidP="00566335">
            <w:pPr>
              <w:pStyle w:val="Normaalweb"/>
            </w:pPr>
            <w:r>
              <w:t>Week IV</w:t>
            </w:r>
          </w:p>
        </w:tc>
      </w:tr>
      <w:tr w:rsidR="0033569E" w:rsidTr="007870CE">
        <w:tc>
          <w:tcPr>
            <w:tcW w:w="1509" w:type="dxa"/>
          </w:tcPr>
          <w:p w:rsidR="0033569E" w:rsidRDefault="0033569E" w:rsidP="00566335">
            <w:pPr>
              <w:pStyle w:val="Normaalweb"/>
            </w:pPr>
          </w:p>
        </w:tc>
        <w:tc>
          <w:tcPr>
            <w:tcW w:w="1509" w:type="dxa"/>
          </w:tcPr>
          <w:p w:rsidR="0033569E" w:rsidRDefault="0033569E" w:rsidP="00566335">
            <w:pPr>
              <w:pStyle w:val="Normaalweb"/>
            </w:pPr>
          </w:p>
        </w:tc>
        <w:tc>
          <w:tcPr>
            <w:tcW w:w="1509" w:type="dxa"/>
          </w:tcPr>
          <w:p w:rsidR="0033569E" w:rsidRDefault="0033569E" w:rsidP="00566335">
            <w:pPr>
              <w:pStyle w:val="Normaalweb"/>
            </w:pPr>
          </w:p>
        </w:tc>
        <w:tc>
          <w:tcPr>
            <w:tcW w:w="1509" w:type="dxa"/>
          </w:tcPr>
          <w:p w:rsidR="0033569E" w:rsidRDefault="0033569E" w:rsidP="00566335">
            <w:pPr>
              <w:pStyle w:val="Normaalweb"/>
            </w:pPr>
          </w:p>
        </w:tc>
        <w:tc>
          <w:tcPr>
            <w:tcW w:w="1510" w:type="dxa"/>
          </w:tcPr>
          <w:p w:rsidR="0033569E" w:rsidRDefault="0033569E" w:rsidP="00566335">
            <w:pPr>
              <w:pStyle w:val="Normaalweb"/>
            </w:pPr>
          </w:p>
        </w:tc>
        <w:tc>
          <w:tcPr>
            <w:tcW w:w="1510" w:type="dxa"/>
          </w:tcPr>
          <w:p w:rsidR="0033569E" w:rsidRDefault="0033569E" w:rsidP="00566335">
            <w:pPr>
              <w:pStyle w:val="Normaalweb"/>
            </w:pPr>
          </w:p>
        </w:tc>
      </w:tr>
    </w:tbl>
    <w:p w:rsidR="007870CE" w:rsidRDefault="0033569E" w:rsidP="00566335">
      <w:pPr>
        <w:pStyle w:val="Normaalweb"/>
      </w:pPr>
      <w:r>
        <w:lastRenderedPageBreak/>
        <w:t>Daling 20,3% in een maand.</w:t>
      </w:r>
    </w:p>
    <w:p w:rsidR="0033569E" w:rsidRDefault="0033569E" w:rsidP="00566335">
      <w:pPr>
        <w:pStyle w:val="Normaalweb"/>
      </w:pPr>
      <w:r>
        <w:t>Stijging 17,52 in een maand.</w:t>
      </w:r>
    </w:p>
    <w:p w:rsidR="004A4D72" w:rsidRDefault="004A4D72" w:rsidP="00566335">
      <w:pPr>
        <w:pStyle w:val="Normaalweb"/>
      </w:pPr>
      <w:r>
        <w:rPr>
          <w:noProof/>
        </w:rPr>
        <w:drawing>
          <wp:inline distT="0" distB="0" distL="0" distR="0" wp14:anchorId="42087842" wp14:editId="04076283">
            <wp:extent cx="7835900" cy="4622800"/>
            <wp:effectExtent l="0" t="0" r="12700" b="12700"/>
            <wp:docPr id="1" name="Grafiek 1">
              <a:extLst xmlns:a="http://schemas.openxmlformats.org/drawingml/2006/main">
                <a:ext uri="{FF2B5EF4-FFF2-40B4-BE49-F238E27FC236}">
                  <a16:creationId xmlns:a16="http://schemas.microsoft.com/office/drawing/2014/main" id="{EF64B7B3-228C-094E-AAAD-3235E204C5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0D6AD3" w:rsidRDefault="000D6AD3" w:rsidP="00566335">
      <w:pPr>
        <w:pStyle w:val="Normaalweb"/>
      </w:pPr>
    </w:p>
    <w:p w:rsidR="00063B9D" w:rsidRDefault="00063B9D"/>
    <w:p w:rsidR="004A4D72" w:rsidRDefault="00F76460">
      <w:r>
        <w:t>Voorbeeld spreadsheet.</w:t>
      </w:r>
    </w:p>
    <w:p w:rsidR="004A4D72" w:rsidRDefault="004A4D72"/>
    <w:tbl>
      <w:tblPr>
        <w:tblW w:w="11065" w:type="dxa"/>
        <w:tblCellMar>
          <w:left w:w="70" w:type="dxa"/>
          <w:right w:w="70" w:type="dxa"/>
        </w:tblCellMar>
        <w:tblLook w:val="04A0" w:firstRow="1" w:lastRow="0" w:firstColumn="1" w:lastColumn="0" w:noHBand="0" w:noVBand="1"/>
      </w:tblPr>
      <w:tblGrid>
        <w:gridCol w:w="8440"/>
        <w:gridCol w:w="1560"/>
        <w:gridCol w:w="1065"/>
      </w:tblGrid>
      <w:tr w:rsidR="004618F4" w:rsidRPr="000D6AD3" w:rsidTr="00B672DD">
        <w:trPr>
          <w:trHeight w:val="220"/>
        </w:trPr>
        <w:tc>
          <w:tcPr>
            <w:tcW w:w="8440" w:type="dxa"/>
            <w:tcBorders>
              <w:top w:val="single" w:sz="8" w:space="0" w:color="auto"/>
              <w:left w:val="single" w:sz="8" w:space="0" w:color="auto"/>
              <w:bottom w:val="nil"/>
              <w:right w:val="single" w:sz="8" w:space="0" w:color="auto"/>
            </w:tcBorders>
            <w:shd w:val="clear" w:color="000000" w:fill="BFBFBF"/>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Te besteden vermogen</w:t>
            </w:r>
          </w:p>
        </w:tc>
        <w:tc>
          <w:tcPr>
            <w:tcW w:w="1560" w:type="dxa"/>
            <w:tcBorders>
              <w:top w:val="single" w:sz="8" w:space="0" w:color="auto"/>
              <w:left w:val="nil"/>
              <w:bottom w:val="nil"/>
              <w:right w:val="single" w:sz="8" w:space="0" w:color="auto"/>
            </w:tcBorders>
            <w:shd w:val="clear" w:color="000000" w:fill="70AD47"/>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€ 10.000,00</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p>
        </w:tc>
      </w:tr>
      <w:tr w:rsidR="004618F4" w:rsidRPr="000D6AD3" w:rsidTr="00B672DD">
        <w:trPr>
          <w:trHeight w:val="240"/>
        </w:trPr>
        <w:tc>
          <w:tcPr>
            <w:tcW w:w="8440" w:type="dxa"/>
            <w:tcBorders>
              <w:top w:val="nil"/>
              <w:left w:val="single" w:sz="8" w:space="0" w:color="auto"/>
              <w:bottom w:val="nil"/>
              <w:right w:val="single" w:sz="8" w:space="0" w:color="auto"/>
            </w:tcBorders>
            <w:shd w:val="clear" w:color="000000" w:fill="BFBFBF"/>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Gewenst rendement</w:t>
            </w:r>
          </w:p>
        </w:tc>
        <w:tc>
          <w:tcPr>
            <w:tcW w:w="1560" w:type="dxa"/>
            <w:tcBorders>
              <w:top w:val="nil"/>
              <w:left w:val="nil"/>
              <w:bottom w:val="nil"/>
              <w:right w:val="single" w:sz="8" w:space="0" w:color="auto"/>
            </w:tcBorders>
            <w:shd w:val="clear" w:color="000000" w:fill="70AD47"/>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10,00%</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p>
        </w:tc>
      </w:tr>
      <w:tr w:rsidR="004618F4" w:rsidRPr="000D6AD3" w:rsidTr="00B672DD">
        <w:trPr>
          <w:trHeight w:val="220"/>
        </w:trPr>
        <w:tc>
          <w:tcPr>
            <w:tcW w:w="8440" w:type="dxa"/>
            <w:tcBorders>
              <w:top w:val="nil"/>
              <w:left w:val="single" w:sz="8" w:space="0" w:color="auto"/>
              <w:bottom w:val="nil"/>
              <w:right w:val="single" w:sz="8" w:space="0" w:color="auto"/>
            </w:tcBorders>
            <w:shd w:val="clear" w:color="000000" w:fill="BFBFBF"/>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Uitgangspunt per jaar</w:t>
            </w:r>
          </w:p>
        </w:tc>
        <w:tc>
          <w:tcPr>
            <w:tcW w:w="1560" w:type="dxa"/>
            <w:tcBorders>
              <w:top w:val="nil"/>
              <w:left w:val="nil"/>
              <w:bottom w:val="nil"/>
              <w:right w:val="single" w:sz="8" w:space="0" w:color="auto"/>
            </w:tcBorders>
            <w:shd w:val="clear" w:color="000000" w:fill="00B0F0"/>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€ 1.000,00</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p>
        </w:tc>
      </w:tr>
      <w:tr w:rsidR="004618F4" w:rsidRPr="000D6AD3" w:rsidTr="00B672DD">
        <w:trPr>
          <w:trHeight w:val="220"/>
        </w:trPr>
        <w:tc>
          <w:tcPr>
            <w:tcW w:w="8440" w:type="dxa"/>
            <w:tcBorders>
              <w:top w:val="nil"/>
              <w:left w:val="single" w:sz="8" w:space="0" w:color="auto"/>
              <w:bottom w:val="nil"/>
              <w:right w:val="single" w:sz="8" w:space="0" w:color="auto"/>
            </w:tcBorders>
            <w:shd w:val="clear" w:color="000000" w:fill="BFBFBF"/>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Uitgangspunt in geval van maand opties</w:t>
            </w:r>
          </w:p>
        </w:tc>
        <w:tc>
          <w:tcPr>
            <w:tcW w:w="1560" w:type="dxa"/>
            <w:tcBorders>
              <w:top w:val="nil"/>
              <w:left w:val="nil"/>
              <w:bottom w:val="nil"/>
              <w:right w:val="single" w:sz="8" w:space="0" w:color="auto"/>
            </w:tcBorders>
            <w:shd w:val="clear" w:color="000000" w:fill="00B0F0"/>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€ 83,33</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p>
        </w:tc>
      </w:tr>
      <w:tr w:rsidR="004618F4" w:rsidRPr="000D6AD3" w:rsidTr="00B672DD">
        <w:trPr>
          <w:trHeight w:val="240"/>
        </w:trPr>
        <w:tc>
          <w:tcPr>
            <w:tcW w:w="8440" w:type="dxa"/>
            <w:tcBorders>
              <w:top w:val="nil"/>
              <w:left w:val="single" w:sz="8" w:space="0" w:color="auto"/>
              <w:bottom w:val="single" w:sz="8" w:space="0" w:color="auto"/>
              <w:right w:val="single" w:sz="8" w:space="0" w:color="auto"/>
            </w:tcBorders>
            <w:shd w:val="clear" w:color="000000" w:fill="BFBFBF"/>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Uitgangspunt in geval van week opties</w:t>
            </w:r>
          </w:p>
        </w:tc>
        <w:tc>
          <w:tcPr>
            <w:tcW w:w="1560" w:type="dxa"/>
            <w:tcBorders>
              <w:top w:val="nil"/>
              <w:left w:val="nil"/>
              <w:bottom w:val="single" w:sz="8" w:space="0" w:color="auto"/>
              <w:right w:val="single" w:sz="8" w:space="0" w:color="auto"/>
            </w:tcBorders>
            <w:shd w:val="clear" w:color="000000" w:fill="00B0F0"/>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€ 19,23</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p>
        </w:tc>
      </w:tr>
      <w:tr w:rsidR="004618F4" w:rsidRPr="000D6AD3" w:rsidTr="00B672DD">
        <w:trPr>
          <w:trHeight w:val="240"/>
        </w:trPr>
        <w:tc>
          <w:tcPr>
            <w:tcW w:w="8440"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c>
          <w:tcPr>
            <w:tcW w:w="1560"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c>
          <w:tcPr>
            <w:tcW w:w="1065"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r>
      <w:tr w:rsidR="004618F4" w:rsidRPr="000D6AD3" w:rsidTr="00B672DD">
        <w:trPr>
          <w:trHeight w:val="220"/>
        </w:trPr>
        <w:tc>
          <w:tcPr>
            <w:tcW w:w="8440" w:type="dxa"/>
            <w:tcBorders>
              <w:top w:val="single" w:sz="8" w:space="0" w:color="auto"/>
              <w:left w:val="single" w:sz="8" w:space="0" w:color="auto"/>
              <w:bottom w:val="nil"/>
              <w:right w:val="single" w:sz="8" w:space="0" w:color="auto"/>
            </w:tcBorders>
            <w:shd w:val="clear" w:color="000000" w:fill="BFBFBF"/>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 xml:space="preserve">Aantal te schrijven contracten op basis van </w:t>
            </w:r>
            <w:proofErr w:type="spellStart"/>
            <w:r w:rsidRPr="000D6AD3">
              <w:rPr>
                <w:rFonts w:ascii="Calibri" w:eastAsia="Times New Roman" w:hAnsi="Calibri" w:cs="Times New Roman"/>
                <w:color w:val="000000"/>
                <w:sz w:val="16"/>
                <w:szCs w:val="16"/>
                <w:lang w:eastAsia="nl-NL"/>
              </w:rPr>
              <w:t>margin</w:t>
            </w:r>
            <w:proofErr w:type="spellEnd"/>
            <w:r w:rsidRPr="000D6AD3">
              <w:rPr>
                <w:rFonts w:ascii="Calibri" w:eastAsia="Times New Roman" w:hAnsi="Calibri" w:cs="Times New Roman"/>
                <w:color w:val="000000"/>
                <w:sz w:val="16"/>
                <w:szCs w:val="16"/>
                <w:lang w:eastAsia="nl-NL"/>
              </w:rPr>
              <w:t xml:space="preserve"> en vermogen</w:t>
            </w:r>
          </w:p>
        </w:tc>
        <w:tc>
          <w:tcPr>
            <w:tcW w:w="1560" w:type="dxa"/>
            <w:tcBorders>
              <w:top w:val="single" w:sz="8" w:space="0" w:color="auto"/>
              <w:left w:val="nil"/>
              <w:bottom w:val="nil"/>
              <w:right w:val="single" w:sz="8" w:space="0" w:color="auto"/>
            </w:tcBorders>
            <w:shd w:val="clear" w:color="000000" w:fill="00B0F0"/>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2</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p>
        </w:tc>
      </w:tr>
      <w:tr w:rsidR="004618F4" w:rsidRPr="000D6AD3" w:rsidTr="00B672DD">
        <w:trPr>
          <w:trHeight w:val="220"/>
        </w:trPr>
        <w:tc>
          <w:tcPr>
            <w:tcW w:w="8440" w:type="dxa"/>
            <w:tcBorders>
              <w:top w:val="nil"/>
              <w:left w:val="single" w:sz="8" w:space="0" w:color="auto"/>
              <w:bottom w:val="nil"/>
              <w:right w:val="single" w:sz="8" w:space="0" w:color="auto"/>
            </w:tcBorders>
            <w:shd w:val="clear" w:color="000000" w:fill="BFBFBF"/>
            <w:noWrap/>
            <w:vAlign w:val="bottom"/>
            <w:hideMark/>
          </w:tcPr>
          <w:p w:rsidR="004618F4" w:rsidRPr="00970769" w:rsidRDefault="004618F4" w:rsidP="00BC053C">
            <w:pPr>
              <w:rPr>
                <w:rFonts w:ascii="Calibri" w:eastAsia="Times New Roman" w:hAnsi="Calibri" w:cs="Times New Roman"/>
                <w:color w:val="000000"/>
                <w:sz w:val="16"/>
                <w:szCs w:val="16"/>
                <w:lang w:val="en-US" w:eastAsia="nl-NL"/>
              </w:rPr>
            </w:pPr>
            <w:r w:rsidRPr="00970769">
              <w:rPr>
                <w:rFonts w:ascii="Calibri" w:eastAsia="Times New Roman" w:hAnsi="Calibri" w:cs="Times New Roman"/>
                <w:color w:val="000000"/>
                <w:sz w:val="16"/>
                <w:szCs w:val="16"/>
                <w:lang w:val="en-US" w:eastAsia="nl-NL"/>
              </w:rPr>
              <w:t>Margin per 1 call en put</w:t>
            </w:r>
          </w:p>
        </w:tc>
        <w:tc>
          <w:tcPr>
            <w:tcW w:w="1560" w:type="dxa"/>
            <w:tcBorders>
              <w:top w:val="nil"/>
              <w:left w:val="nil"/>
              <w:bottom w:val="nil"/>
              <w:right w:val="single" w:sz="8" w:space="0" w:color="auto"/>
            </w:tcBorders>
            <w:shd w:val="clear" w:color="000000" w:fill="00B0F0"/>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€ 4.200,00</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p>
        </w:tc>
      </w:tr>
      <w:tr w:rsidR="004618F4" w:rsidRPr="000D6AD3" w:rsidTr="00B672DD">
        <w:trPr>
          <w:trHeight w:val="220"/>
        </w:trPr>
        <w:tc>
          <w:tcPr>
            <w:tcW w:w="8440" w:type="dxa"/>
            <w:tcBorders>
              <w:top w:val="nil"/>
              <w:left w:val="single" w:sz="8" w:space="0" w:color="auto"/>
              <w:bottom w:val="nil"/>
              <w:right w:val="single" w:sz="8" w:space="0" w:color="auto"/>
            </w:tcBorders>
            <w:shd w:val="clear" w:color="000000" w:fill="BFBFBF"/>
            <w:noWrap/>
            <w:vAlign w:val="bottom"/>
            <w:hideMark/>
          </w:tcPr>
          <w:p w:rsidR="004618F4" w:rsidRPr="000D6AD3" w:rsidRDefault="004618F4" w:rsidP="00BC053C">
            <w:pPr>
              <w:rPr>
                <w:rFonts w:ascii="Calibri" w:eastAsia="Times New Roman" w:hAnsi="Calibri" w:cs="Times New Roman"/>
                <w:color w:val="000000"/>
                <w:sz w:val="16"/>
                <w:szCs w:val="16"/>
                <w:lang w:eastAsia="nl-NL"/>
              </w:rPr>
            </w:pPr>
            <w:proofErr w:type="spellStart"/>
            <w:r w:rsidRPr="000D6AD3">
              <w:rPr>
                <w:rFonts w:ascii="Calibri" w:eastAsia="Times New Roman" w:hAnsi="Calibri" w:cs="Times New Roman"/>
                <w:color w:val="000000"/>
                <w:sz w:val="16"/>
                <w:szCs w:val="16"/>
                <w:lang w:eastAsia="nl-NL"/>
              </w:rPr>
              <w:t>Veiligheidsmargin</w:t>
            </w:r>
            <w:proofErr w:type="spellEnd"/>
            <w:r w:rsidRPr="000D6AD3">
              <w:rPr>
                <w:rFonts w:ascii="Calibri" w:eastAsia="Times New Roman" w:hAnsi="Calibri" w:cs="Times New Roman"/>
                <w:color w:val="000000"/>
                <w:sz w:val="16"/>
                <w:szCs w:val="16"/>
                <w:lang w:eastAsia="nl-NL"/>
              </w:rPr>
              <w:t xml:space="preserve"> 50% onder max. mogelijk aantal contracten</w:t>
            </w:r>
          </w:p>
        </w:tc>
        <w:tc>
          <w:tcPr>
            <w:tcW w:w="1560" w:type="dxa"/>
            <w:tcBorders>
              <w:top w:val="nil"/>
              <w:left w:val="nil"/>
              <w:bottom w:val="nil"/>
              <w:right w:val="single" w:sz="8" w:space="0" w:color="auto"/>
            </w:tcBorders>
            <w:shd w:val="clear" w:color="000000" w:fill="00B0F0"/>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1</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p>
        </w:tc>
      </w:tr>
      <w:tr w:rsidR="004618F4" w:rsidRPr="000D6AD3" w:rsidTr="00B672DD">
        <w:trPr>
          <w:trHeight w:val="220"/>
        </w:trPr>
        <w:tc>
          <w:tcPr>
            <w:tcW w:w="8440" w:type="dxa"/>
            <w:tcBorders>
              <w:top w:val="nil"/>
              <w:left w:val="single" w:sz="8" w:space="0" w:color="auto"/>
              <w:bottom w:val="nil"/>
              <w:right w:val="single" w:sz="8" w:space="0" w:color="auto"/>
            </w:tcBorders>
            <w:shd w:val="clear" w:color="000000" w:fill="BFBFBF"/>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 xml:space="preserve">Minimale premie </w:t>
            </w:r>
            <w:proofErr w:type="spellStart"/>
            <w:r w:rsidRPr="000D6AD3">
              <w:rPr>
                <w:rFonts w:ascii="Calibri" w:eastAsia="Times New Roman" w:hAnsi="Calibri" w:cs="Times New Roman"/>
                <w:color w:val="000000"/>
                <w:sz w:val="16"/>
                <w:szCs w:val="16"/>
                <w:lang w:eastAsia="nl-NL"/>
              </w:rPr>
              <w:t>strangle</w:t>
            </w:r>
            <w:proofErr w:type="spellEnd"/>
            <w:r w:rsidRPr="000D6AD3">
              <w:rPr>
                <w:rFonts w:ascii="Calibri" w:eastAsia="Times New Roman" w:hAnsi="Calibri" w:cs="Times New Roman"/>
                <w:color w:val="000000"/>
                <w:sz w:val="16"/>
                <w:szCs w:val="16"/>
                <w:lang w:eastAsia="nl-NL"/>
              </w:rPr>
              <w:t xml:space="preserve"> om doel te halen maand opties</w:t>
            </w:r>
          </w:p>
        </w:tc>
        <w:tc>
          <w:tcPr>
            <w:tcW w:w="1560" w:type="dxa"/>
            <w:tcBorders>
              <w:top w:val="nil"/>
              <w:left w:val="nil"/>
              <w:bottom w:val="nil"/>
              <w:right w:val="single" w:sz="8" w:space="0" w:color="auto"/>
            </w:tcBorders>
            <w:shd w:val="clear" w:color="000000" w:fill="00B0F0"/>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€ 0,70</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p>
        </w:tc>
      </w:tr>
      <w:tr w:rsidR="004618F4" w:rsidRPr="000D6AD3" w:rsidTr="00B672DD">
        <w:trPr>
          <w:trHeight w:val="240"/>
        </w:trPr>
        <w:tc>
          <w:tcPr>
            <w:tcW w:w="8440" w:type="dxa"/>
            <w:tcBorders>
              <w:top w:val="nil"/>
              <w:left w:val="single" w:sz="8" w:space="0" w:color="auto"/>
              <w:bottom w:val="single" w:sz="8" w:space="0" w:color="auto"/>
              <w:right w:val="single" w:sz="8" w:space="0" w:color="auto"/>
            </w:tcBorders>
            <w:shd w:val="clear" w:color="000000" w:fill="BFBFBF"/>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 xml:space="preserve">Minimale premie </w:t>
            </w:r>
            <w:proofErr w:type="spellStart"/>
            <w:r w:rsidRPr="000D6AD3">
              <w:rPr>
                <w:rFonts w:ascii="Calibri" w:eastAsia="Times New Roman" w:hAnsi="Calibri" w:cs="Times New Roman"/>
                <w:color w:val="000000"/>
                <w:sz w:val="16"/>
                <w:szCs w:val="16"/>
                <w:lang w:eastAsia="nl-NL"/>
              </w:rPr>
              <w:t>strangle</w:t>
            </w:r>
            <w:proofErr w:type="spellEnd"/>
            <w:r w:rsidRPr="000D6AD3">
              <w:rPr>
                <w:rFonts w:ascii="Calibri" w:eastAsia="Times New Roman" w:hAnsi="Calibri" w:cs="Times New Roman"/>
                <w:color w:val="000000"/>
                <w:sz w:val="16"/>
                <w:szCs w:val="16"/>
                <w:lang w:eastAsia="nl-NL"/>
              </w:rPr>
              <w:t xml:space="preserve"> om doel te halen week opties</w:t>
            </w:r>
          </w:p>
        </w:tc>
        <w:tc>
          <w:tcPr>
            <w:tcW w:w="1560" w:type="dxa"/>
            <w:tcBorders>
              <w:top w:val="nil"/>
              <w:left w:val="nil"/>
              <w:bottom w:val="single" w:sz="8" w:space="0" w:color="auto"/>
              <w:right w:val="single" w:sz="8" w:space="0" w:color="auto"/>
            </w:tcBorders>
            <w:shd w:val="clear" w:color="000000" w:fill="00B0F0"/>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€ 0,16</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p>
        </w:tc>
      </w:tr>
      <w:tr w:rsidR="004618F4" w:rsidRPr="000D6AD3" w:rsidTr="00B672DD">
        <w:trPr>
          <w:trHeight w:val="240"/>
        </w:trPr>
        <w:tc>
          <w:tcPr>
            <w:tcW w:w="8440"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c>
          <w:tcPr>
            <w:tcW w:w="1560"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c>
          <w:tcPr>
            <w:tcW w:w="1065"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r>
      <w:tr w:rsidR="004618F4" w:rsidRPr="000D6AD3" w:rsidTr="00B672DD">
        <w:trPr>
          <w:trHeight w:val="240"/>
        </w:trPr>
        <w:tc>
          <w:tcPr>
            <w:tcW w:w="11065" w:type="dxa"/>
            <w:gridSpan w:val="3"/>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4618F4" w:rsidRPr="000D6AD3" w:rsidRDefault="004618F4" w:rsidP="00BC053C">
            <w:pPr>
              <w:jc w:val="cente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Welke opties verkopen op basis van formule:</w:t>
            </w:r>
          </w:p>
        </w:tc>
      </w:tr>
      <w:tr w:rsidR="004618F4" w:rsidRPr="000D6AD3" w:rsidTr="00B672DD">
        <w:trPr>
          <w:trHeight w:val="240"/>
        </w:trPr>
        <w:tc>
          <w:tcPr>
            <w:tcW w:w="8440" w:type="dxa"/>
            <w:tcBorders>
              <w:top w:val="nil"/>
              <w:left w:val="single" w:sz="8" w:space="0" w:color="auto"/>
              <w:bottom w:val="single" w:sz="8" w:space="0" w:color="auto"/>
              <w:right w:val="nil"/>
            </w:tcBorders>
            <w:shd w:val="clear" w:color="auto" w:fill="auto"/>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 xml:space="preserve">Huidige stand AEX * </w:t>
            </w:r>
            <w:proofErr w:type="spellStart"/>
            <w:r w:rsidRPr="000D6AD3">
              <w:rPr>
                <w:rFonts w:ascii="Calibri" w:eastAsia="Times New Roman" w:hAnsi="Calibri" w:cs="Times New Roman"/>
                <w:color w:val="000000"/>
                <w:sz w:val="16"/>
                <w:szCs w:val="16"/>
                <w:lang w:eastAsia="nl-NL"/>
              </w:rPr>
              <w:t>implied</w:t>
            </w:r>
            <w:proofErr w:type="spellEnd"/>
            <w:r w:rsidRPr="000D6AD3">
              <w:rPr>
                <w:rFonts w:ascii="Calibri" w:eastAsia="Times New Roman" w:hAnsi="Calibri" w:cs="Times New Roman"/>
                <w:color w:val="000000"/>
                <w:sz w:val="16"/>
                <w:szCs w:val="16"/>
                <w:lang w:eastAsia="nl-NL"/>
              </w:rPr>
              <w:t xml:space="preserve"> </w:t>
            </w:r>
            <w:proofErr w:type="spellStart"/>
            <w:r w:rsidRPr="000D6AD3">
              <w:rPr>
                <w:rFonts w:ascii="Calibri" w:eastAsia="Times New Roman" w:hAnsi="Calibri" w:cs="Times New Roman"/>
                <w:color w:val="000000"/>
                <w:sz w:val="16"/>
                <w:szCs w:val="16"/>
                <w:lang w:eastAsia="nl-NL"/>
              </w:rPr>
              <w:t>volatility</w:t>
            </w:r>
            <w:proofErr w:type="spellEnd"/>
            <w:r w:rsidRPr="000D6AD3">
              <w:rPr>
                <w:rFonts w:ascii="Calibri" w:eastAsia="Times New Roman" w:hAnsi="Calibri" w:cs="Times New Roman"/>
                <w:color w:val="000000"/>
                <w:sz w:val="16"/>
                <w:szCs w:val="16"/>
                <w:lang w:eastAsia="nl-NL"/>
              </w:rPr>
              <w:t xml:space="preserve"> * wortel (dagen tot expiratie/handelsdagen beursjaar)</w:t>
            </w:r>
          </w:p>
        </w:tc>
        <w:tc>
          <w:tcPr>
            <w:tcW w:w="1560" w:type="dxa"/>
            <w:tcBorders>
              <w:top w:val="nil"/>
              <w:left w:val="nil"/>
              <w:bottom w:val="single" w:sz="8" w:space="0" w:color="auto"/>
              <w:right w:val="nil"/>
            </w:tcBorders>
            <w:shd w:val="clear" w:color="auto" w:fill="auto"/>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 </w:t>
            </w:r>
          </w:p>
        </w:tc>
        <w:tc>
          <w:tcPr>
            <w:tcW w:w="1065" w:type="dxa"/>
            <w:tcBorders>
              <w:top w:val="nil"/>
              <w:left w:val="nil"/>
              <w:bottom w:val="single" w:sz="8" w:space="0" w:color="auto"/>
              <w:right w:val="single" w:sz="8" w:space="0" w:color="auto"/>
            </w:tcBorders>
            <w:shd w:val="clear" w:color="auto" w:fill="auto"/>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 </w:t>
            </w:r>
          </w:p>
        </w:tc>
      </w:tr>
      <w:tr w:rsidR="004618F4" w:rsidRPr="000D6AD3" w:rsidTr="00B672DD">
        <w:trPr>
          <w:trHeight w:val="240"/>
        </w:trPr>
        <w:tc>
          <w:tcPr>
            <w:tcW w:w="8440" w:type="dxa"/>
            <w:tcBorders>
              <w:top w:val="nil"/>
              <w:left w:val="nil"/>
              <w:bottom w:val="nil"/>
              <w:right w:val="nil"/>
            </w:tcBorders>
            <w:shd w:val="clear" w:color="auto" w:fill="auto"/>
            <w:noWrap/>
            <w:vAlign w:val="bottom"/>
            <w:hideMark/>
          </w:tcPr>
          <w:p w:rsidR="004618F4" w:rsidRPr="000D6AD3" w:rsidRDefault="004618F4" w:rsidP="00BC053C">
            <w:pPr>
              <w:rPr>
                <w:rFonts w:ascii="Calibri" w:eastAsia="Times New Roman" w:hAnsi="Calibri" w:cs="Times New Roman"/>
                <w:color w:val="000000"/>
                <w:sz w:val="16"/>
                <w:szCs w:val="16"/>
                <w:lang w:eastAsia="nl-NL"/>
              </w:rPr>
            </w:pPr>
          </w:p>
        </w:tc>
        <w:tc>
          <w:tcPr>
            <w:tcW w:w="1560"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c>
          <w:tcPr>
            <w:tcW w:w="1065"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r>
      <w:tr w:rsidR="004618F4" w:rsidRPr="000D6AD3" w:rsidTr="00B672DD">
        <w:trPr>
          <w:trHeight w:val="220"/>
        </w:trPr>
        <w:tc>
          <w:tcPr>
            <w:tcW w:w="8440" w:type="dxa"/>
            <w:tcBorders>
              <w:top w:val="single" w:sz="8" w:space="0" w:color="auto"/>
              <w:left w:val="single" w:sz="8" w:space="0" w:color="auto"/>
              <w:bottom w:val="nil"/>
              <w:right w:val="nil"/>
            </w:tcBorders>
            <w:shd w:val="clear" w:color="000000" w:fill="BFBFBF"/>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Huidige stand AEX</w:t>
            </w:r>
          </w:p>
        </w:tc>
        <w:tc>
          <w:tcPr>
            <w:tcW w:w="1560" w:type="dxa"/>
            <w:tcBorders>
              <w:top w:val="single" w:sz="8" w:space="0" w:color="auto"/>
              <w:left w:val="single" w:sz="8" w:space="0" w:color="auto"/>
              <w:bottom w:val="nil"/>
              <w:right w:val="single" w:sz="8" w:space="0" w:color="auto"/>
            </w:tcBorders>
            <w:shd w:val="clear" w:color="000000" w:fill="70AD47"/>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bookmarkStart w:id="0" w:name="RANGE!C17"/>
            <w:r w:rsidRPr="000D6AD3">
              <w:rPr>
                <w:rFonts w:ascii="Calibri" w:eastAsia="Times New Roman" w:hAnsi="Calibri" w:cs="Times New Roman"/>
                <w:color w:val="000000"/>
                <w:sz w:val="16"/>
                <w:szCs w:val="16"/>
                <w:lang w:eastAsia="nl-NL"/>
              </w:rPr>
              <w:t>540</w:t>
            </w:r>
            <w:bookmarkEnd w:id="0"/>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p>
        </w:tc>
      </w:tr>
      <w:tr w:rsidR="004618F4" w:rsidRPr="000D6AD3" w:rsidTr="00B672DD">
        <w:trPr>
          <w:trHeight w:val="220"/>
        </w:trPr>
        <w:tc>
          <w:tcPr>
            <w:tcW w:w="8440" w:type="dxa"/>
            <w:tcBorders>
              <w:top w:val="nil"/>
              <w:left w:val="single" w:sz="8" w:space="0" w:color="auto"/>
              <w:bottom w:val="nil"/>
              <w:right w:val="nil"/>
            </w:tcBorders>
            <w:shd w:val="clear" w:color="000000" w:fill="BFBFBF"/>
            <w:noWrap/>
            <w:vAlign w:val="bottom"/>
            <w:hideMark/>
          </w:tcPr>
          <w:p w:rsidR="004618F4" w:rsidRPr="000D6AD3" w:rsidRDefault="004618F4" w:rsidP="00BC053C">
            <w:pPr>
              <w:rPr>
                <w:rFonts w:ascii="Calibri" w:eastAsia="Times New Roman" w:hAnsi="Calibri" w:cs="Times New Roman"/>
                <w:color w:val="000000"/>
                <w:sz w:val="16"/>
                <w:szCs w:val="16"/>
                <w:lang w:eastAsia="nl-NL"/>
              </w:rPr>
            </w:pPr>
            <w:proofErr w:type="spellStart"/>
            <w:r w:rsidRPr="000D6AD3">
              <w:rPr>
                <w:rFonts w:ascii="Calibri" w:eastAsia="Times New Roman" w:hAnsi="Calibri" w:cs="Times New Roman"/>
                <w:color w:val="000000"/>
                <w:sz w:val="16"/>
                <w:szCs w:val="16"/>
                <w:lang w:eastAsia="nl-NL"/>
              </w:rPr>
              <w:t>Implied</w:t>
            </w:r>
            <w:proofErr w:type="spellEnd"/>
            <w:r w:rsidRPr="000D6AD3">
              <w:rPr>
                <w:rFonts w:ascii="Calibri" w:eastAsia="Times New Roman" w:hAnsi="Calibri" w:cs="Times New Roman"/>
                <w:color w:val="000000"/>
                <w:sz w:val="16"/>
                <w:szCs w:val="16"/>
                <w:lang w:eastAsia="nl-NL"/>
              </w:rPr>
              <w:t xml:space="preserve"> </w:t>
            </w:r>
            <w:proofErr w:type="spellStart"/>
            <w:r w:rsidRPr="000D6AD3">
              <w:rPr>
                <w:rFonts w:ascii="Calibri" w:eastAsia="Times New Roman" w:hAnsi="Calibri" w:cs="Times New Roman"/>
                <w:color w:val="000000"/>
                <w:sz w:val="16"/>
                <w:szCs w:val="16"/>
                <w:lang w:eastAsia="nl-NL"/>
              </w:rPr>
              <w:t>volatility</w:t>
            </w:r>
            <w:proofErr w:type="spellEnd"/>
          </w:p>
        </w:tc>
        <w:tc>
          <w:tcPr>
            <w:tcW w:w="1560" w:type="dxa"/>
            <w:tcBorders>
              <w:top w:val="nil"/>
              <w:left w:val="single" w:sz="8" w:space="0" w:color="auto"/>
              <w:bottom w:val="nil"/>
              <w:right w:val="single" w:sz="8" w:space="0" w:color="auto"/>
            </w:tcBorders>
            <w:shd w:val="clear" w:color="000000" w:fill="70AD47"/>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0,12</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p>
        </w:tc>
      </w:tr>
      <w:tr w:rsidR="004618F4" w:rsidRPr="000D6AD3" w:rsidTr="00B672DD">
        <w:trPr>
          <w:trHeight w:val="220"/>
        </w:trPr>
        <w:tc>
          <w:tcPr>
            <w:tcW w:w="8440" w:type="dxa"/>
            <w:tcBorders>
              <w:top w:val="nil"/>
              <w:left w:val="single" w:sz="8" w:space="0" w:color="auto"/>
              <w:bottom w:val="nil"/>
              <w:right w:val="nil"/>
            </w:tcBorders>
            <w:shd w:val="clear" w:color="000000" w:fill="BFBFBF"/>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Dagen tot expiratie (LET OP GEEN WEEKENDEN)</w:t>
            </w:r>
          </w:p>
        </w:tc>
        <w:tc>
          <w:tcPr>
            <w:tcW w:w="1560" w:type="dxa"/>
            <w:tcBorders>
              <w:top w:val="nil"/>
              <w:left w:val="single" w:sz="8" w:space="0" w:color="auto"/>
              <w:bottom w:val="nil"/>
              <w:right w:val="single" w:sz="8" w:space="0" w:color="auto"/>
            </w:tcBorders>
            <w:shd w:val="clear" w:color="000000" w:fill="70AD47"/>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20</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p>
        </w:tc>
      </w:tr>
      <w:tr w:rsidR="004618F4" w:rsidRPr="000D6AD3" w:rsidTr="00B672DD">
        <w:trPr>
          <w:trHeight w:val="240"/>
        </w:trPr>
        <w:tc>
          <w:tcPr>
            <w:tcW w:w="8440" w:type="dxa"/>
            <w:tcBorders>
              <w:top w:val="nil"/>
              <w:left w:val="single" w:sz="8" w:space="0" w:color="auto"/>
              <w:bottom w:val="single" w:sz="8" w:space="0" w:color="auto"/>
              <w:right w:val="nil"/>
            </w:tcBorders>
            <w:shd w:val="clear" w:color="000000" w:fill="BFBFBF"/>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Handelsdagen Beursjaar</w:t>
            </w:r>
          </w:p>
        </w:tc>
        <w:tc>
          <w:tcPr>
            <w:tcW w:w="1560" w:type="dxa"/>
            <w:tcBorders>
              <w:top w:val="nil"/>
              <w:left w:val="single" w:sz="8" w:space="0" w:color="auto"/>
              <w:bottom w:val="single" w:sz="8" w:space="0" w:color="auto"/>
              <w:right w:val="single" w:sz="8" w:space="0" w:color="auto"/>
            </w:tcBorders>
            <w:shd w:val="clear" w:color="000000" w:fill="00B0F0"/>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252</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p>
        </w:tc>
      </w:tr>
      <w:tr w:rsidR="004618F4" w:rsidRPr="000D6AD3" w:rsidTr="00B672DD">
        <w:trPr>
          <w:trHeight w:val="240"/>
        </w:trPr>
        <w:tc>
          <w:tcPr>
            <w:tcW w:w="8440" w:type="dxa"/>
            <w:tcBorders>
              <w:top w:val="nil"/>
              <w:left w:val="single" w:sz="8" w:space="0" w:color="auto"/>
              <w:bottom w:val="single" w:sz="8" w:space="0" w:color="auto"/>
              <w:right w:val="nil"/>
            </w:tcBorders>
            <w:shd w:val="clear" w:color="000000" w:fill="BFBFBF"/>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1x Standaarddeviatie</w:t>
            </w:r>
          </w:p>
        </w:tc>
        <w:tc>
          <w:tcPr>
            <w:tcW w:w="1560" w:type="dxa"/>
            <w:tcBorders>
              <w:top w:val="nil"/>
              <w:left w:val="single" w:sz="8" w:space="0" w:color="auto"/>
              <w:bottom w:val="single" w:sz="8" w:space="0" w:color="auto"/>
              <w:right w:val="single" w:sz="8" w:space="0" w:color="auto"/>
            </w:tcBorders>
            <w:shd w:val="clear" w:color="000000" w:fill="00B0F0"/>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18,2553319</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p>
        </w:tc>
      </w:tr>
      <w:tr w:rsidR="004618F4" w:rsidRPr="000D6AD3" w:rsidTr="00B672DD">
        <w:trPr>
          <w:trHeight w:val="240"/>
        </w:trPr>
        <w:tc>
          <w:tcPr>
            <w:tcW w:w="8440"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c>
          <w:tcPr>
            <w:tcW w:w="1560"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c>
          <w:tcPr>
            <w:tcW w:w="1065"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r>
      <w:tr w:rsidR="004618F4" w:rsidRPr="000D6AD3" w:rsidTr="00B672DD">
        <w:trPr>
          <w:trHeight w:val="240"/>
        </w:trPr>
        <w:tc>
          <w:tcPr>
            <w:tcW w:w="10000" w:type="dxa"/>
            <w:gridSpan w:val="2"/>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4618F4" w:rsidRPr="000D6AD3" w:rsidRDefault="004618F4" w:rsidP="00BC053C">
            <w:pPr>
              <w:jc w:val="cente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Scenario 1x standaarddeviatie = 68% zekerheid</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center"/>
              <w:rPr>
                <w:rFonts w:ascii="Calibri" w:eastAsia="Times New Roman" w:hAnsi="Calibri" w:cs="Times New Roman"/>
                <w:color w:val="000000"/>
                <w:sz w:val="16"/>
                <w:szCs w:val="16"/>
                <w:lang w:eastAsia="nl-NL"/>
              </w:rPr>
            </w:pPr>
          </w:p>
        </w:tc>
      </w:tr>
      <w:tr w:rsidR="004618F4" w:rsidRPr="000D6AD3" w:rsidTr="00B672DD">
        <w:trPr>
          <w:trHeight w:val="220"/>
        </w:trPr>
        <w:tc>
          <w:tcPr>
            <w:tcW w:w="8440" w:type="dxa"/>
            <w:tcBorders>
              <w:top w:val="nil"/>
              <w:left w:val="single" w:sz="8" w:space="0" w:color="auto"/>
              <w:bottom w:val="nil"/>
              <w:right w:val="single" w:sz="8" w:space="0" w:color="auto"/>
            </w:tcBorders>
            <w:shd w:val="clear" w:color="auto" w:fill="auto"/>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Te verkopen call</w:t>
            </w:r>
          </w:p>
        </w:tc>
        <w:tc>
          <w:tcPr>
            <w:tcW w:w="1560" w:type="dxa"/>
            <w:tcBorders>
              <w:top w:val="nil"/>
              <w:left w:val="nil"/>
              <w:bottom w:val="nil"/>
              <w:right w:val="single" w:sz="8" w:space="0" w:color="auto"/>
            </w:tcBorders>
            <w:shd w:val="clear" w:color="000000" w:fill="00B0F0"/>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558</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p>
        </w:tc>
      </w:tr>
      <w:tr w:rsidR="004618F4" w:rsidRPr="000D6AD3" w:rsidTr="00B672DD">
        <w:trPr>
          <w:trHeight w:val="240"/>
        </w:trPr>
        <w:tc>
          <w:tcPr>
            <w:tcW w:w="8440" w:type="dxa"/>
            <w:tcBorders>
              <w:top w:val="nil"/>
              <w:left w:val="single" w:sz="8" w:space="0" w:color="auto"/>
              <w:bottom w:val="single" w:sz="8" w:space="0" w:color="auto"/>
              <w:right w:val="single" w:sz="8" w:space="0" w:color="auto"/>
            </w:tcBorders>
            <w:shd w:val="clear" w:color="auto" w:fill="auto"/>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Te verkopen put</w:t>
            </w:r>
          </w:p>
        </w:tc>
        <w:tc>
          <w:tcPr>
            <w:tcW w:w="1560" w:type="dxa"/>
            <w:tcBorders>
              <w:top w:val="nil"/>
              <w:left w:val="nil"/>
              <w:bottom w:val="single" w:sz="8" w:space="0" w:color="auto"/>
              <w:right w:val="single" w:sz="8" w:space="0" w:color="auto"/>
            </w:tcBorders>
            <w:shd w:val="clear" w:color="000000" w:fill="00B0F0"/>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522</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p>
        </w:tc>
      </w:tr>
      <w:tr w:rsidR="004618F4" w:rsidRPr="000D6AD3" w:rsidTr="00B672DD">
        <w:trPr>
          <w:trHeight w:val="240"/>
        </w:trPr>
        <w:tc>
          <w:tcPr>
            <w:tcW w:w="8440"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c>
          <w:tcPr>
            <w:tcW w:w="1560"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c>
          <w:tcPr>
            <w:tcW w:w="1065"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r>
      <w:tr w:rsidR="004618F4" w:rsidRPr="000D6AD3" w:rsidTr="00B672DD">
        <w:trPr>
          <w:trHeight w:val="240"/>
        </w:trPr>
        <w:tc>
          <w:tcPr>
            <w:tcW w:w="8440"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c>
          <w:tcPr>
            <w:tcW w:w="1560"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c>
          <w:tcPr>
            <w:tcW w:w="1065"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r>
      <w:tr w:rsidR="004618F4" w:rsidRPr="000D6AD3" w:rsidTr="00B672DD">
        <w:trPr>
          <w:trHeight w:val="240"/>
        </w:trPr>
        <w:tc>
          <w:tcPr>
            <w:tcW w:w="10000" w:type="dxa"/>
            <w:gridSpan w:val="2"/>
            <w:tcBorders>
              <w:top w:val="single" w:sz="8" w:space="0" w:color="auto"/>
              <w:left w:val="single" w:sz="8" w:space="0" w:color="auto"/>
              <w:bottom w:val="single" w:sz="8" w:space="0" w:color="auto"/>
              <w:right w:val="single" w:sz="8" w:space="0" w:color="000000"/>
            </w:tcBorders>
            <w:shd w:val="clear" w:color="000000" w:fill="BFBFBF"/>
            <w:noWrap/>
            <w:vAlign w:val="bottom"/>
            <w:hideMark/>
          </w:tcPr>
          <w:p w:rsidR="004618F4" w:rsidRPr="000D6AD3" w:rsidRDefault="004618F4" w:rsidP="00BC053C">
            <w:pPr>
              <w:jc w:val="cente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Scenario 2x standaarddeviatie = 95% zekerheid</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center"/>
              <w:rPr>
                <w:rFonts w:ascii="Calibri" w:eastAsia="Times New Roman" w:hAnsi="Calibri" w:cs="Times New Roman"/>
                <w:color w:val="000000"/>
                <w:sz w:val="16"/>
                <w:szCs w:val="16"/>
                <w:lang w:eastAsia="nl-NL"/>
              </w:rPr>
            </w:pPr>
          </w:p>
        </w:tc>
      </w:tr>
      <w:tr w:rsidR="004618F4" w:rsidRPr="000D6AD3" w:rsidTr="00B672DD">
        <w:trPr>
          <w:trHeight w:val="240"/>
        </w:trPr>
        <w:tc>
          <w:tcPr>
            <w:tcW w:w="8440" w:type="dxa"/>
            <w:tcBorders>
              <w:top w:val="nil"/>
              <w:left w:val="single" w:sz="8" w:space="0" w:color="auto"/>
              <w:bottom w:val="nil"/>
              <w:right w:val="nil"/>
            </w:tcBorders>
            <w:shd w:val="clear" w:color="auto" w:fill="auto"/>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Te verkopen call</w:t>
            </w:r>
          </w:p>
        </w:tc>
        <w:tc>
          <w:tcPr>
            <w:tcW w:w="1560" w:type="dxa"/>
            <w:tcBorders>
              <w:top w:val="nil"/>
              <w:left w:val="single" w:sz="8" w:space="0" w:color="auto"/>
              <w:bottom w:val="nil"/>
              <w:right w:val="single" w:sz="8" w:space="0" w:color="auto"/>
            </w:tcBorders>
            <w:shd w:val="clear" w:color="000000" w:fill="00B0F0"/>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577</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580</w:t>
            </w:r>
          </w:p>
        </w:tc>
      </w:tr>
      <w:tr w:rsidR="004618F4" w:rsidRPr="000D6AD3" w:rsidTr="00B672DD">
        <w:trPr>
          <w:trHeight w:val="220"/>
        </w:trPr>
        <w:tc>
          <w:tcPr>
            <w:tcW w:w="8440" w:type="dxa"/>
            <w:tcBorders>
              <w:top w:val="nil"/>
              <w:left w:val="single" w:sz="8" w:space="0" w:color="auto"/>
              <w:bottom w:val="nil"/>
              <w:right w:val="nil"/>
            </w:tcBorders>
            <w:shd w:val="clear" w:color="auto" w:fill="auto"/>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Te verkopen put</w:t>
            </w:r>
          </w:p>
        </w:tc>
        <w:tc>
          <w:tcPr>
            <w:tcW w:w="1560" w:type="dxa"/>
            <w:tcBorders>
              <w:top w:val="nil"/>
              <w:left w:val="single" w:sz="8" w:space="0" w:color="auto"/>
              <w:bottom w:val="nil"/>
              <w:right w:val="single" w:sz="8" w:space="0" w:color="auto"/>
            </w:tcBorders>
            <w:shd w:val="clear" w:color="000000" w:fill="00B0F0"/>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503</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500</w:t>
            </w:r>
          </w:p>
        </w:tc>
      </w:tr>
      <w:tr w:rsidR="004618F4" w:rsidRPr="000D6AD3" w:rsidTr="00B672DD">
        <w:trPr>
          <w:trHeight w:val="240"/>
        </w:trPr>
        <w:tc>
          <w:tcPr>
            <w:tcW w:w="8440" w:type="dxa"/>
            <w:tcBorders>
              <w:top w:val="nil"/>
              <w:left w:val="single" w:sz="8" w:space="0" w:color="auto"/>
              <w:bottom w:val="single" w:sz="8" w:space="0" w:color="auto"/>
              <w:right w:val="nil"/>
            </w:tcBorders>
            <w:shd w:val="clear" w:color="auto" w:fill="auto"/>
            <w:noWrap/>
            <w:vAlign w:val="bottom"/>
            <w:hideMark/>
          </w:tcPr>
          <w:p w:rsidR="004618F4" w:rsidRPr="000D6AD3" w:rsidRDefault="004618F4" w:rsidP="00BC053C">
            <w:pPr>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Te kopen put</w:t>
            </w:r>
          </w:p>
        </w:tc>
        <w:tc>
          <w:tcPr>
            <w:tcW w:w="1560" w:type="dxa"/>
            <w:tcBorders>
              <w:top w:val="nil"/>
              <w:left w:val="single" w:sz="8" w:space="0" w:color="auto"/>
              <w:bottom w:val="single" w:sz="8" w:space="0" w:color="auto"/>
              <w:right w:val="single" w:sz="8" w:space="0" w:color="auto"/>
            </w:tcBorders>
            <w:shd w:val="clear" w:color="000000" w:fill="00B0F0"/>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r w:rsidRPr="000D6AD3">
              <w:rPr>
                <w:rFonts w:ascii="Calibri" w:eastAsia="Times New Roman" w:hAnsi="Calibri" w:cs="Times New Roman"/>
                <w:color w:val="000000"/>
                <w:sz w:val="16"/>
                <w:szCs w:val="16"/>
                <w:lang w:eastAsia="nl-NL"/>
              </w:rPr>
              <w:t>498</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jc w:val="right"/>
              <w:rPr>
                <w:rFonts w:ascii="Calibri" w:eastAsia="Times New Roman" w:hAnsi="Calibri" w:cs="Times New Roman"/>
                <w:color w:val="000000"/>
                <w:sz w:val="16"/>
                <w:szCs w:val="16"/>
                <w:lang w:eastAsia="nl-NL"/>
              </w:rPr>
            </w:pPr>
          </w:p>
        </w:tc>
      </w:tr>
      <w:tr w:rsidR="004618F4" w:rsidRPr="000D6AD3" w:rsidTr="00B672DD">
        <w:trPr>
          <w:trHeight w:val="240"/>
        </w:trPr>
        <w:tc>
          <w:tcPr>
            <w:tcW w:w="8440"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c>
          <w:tcPr>
            <w:tcW w:w="1560" w:type="dxa"/>
            <w:tcBorders>
              <w:top w:val="nil"/>
              <w:left w:val="nil"/>
              <w:bottom w:val="nil"/>
              <w:right w:val="nil"/>
            </w:tcBorders>
            <w:shd w:val="clear" w:color="000000" w:fill="F2F2F2"/>
            <w:noWrap/>
            <w:vAlign w:val="bottom"/>
            <w:hideMark/>
          </w:tcPr>
          <w:p w:rsidR="004618F4" w:rsidRPr="000D6AD3" w:rsidRDefault="004618F4" w:rsidP="00BC053C">
            <w:pPr>
              <w:rPr>
                <w:rFonts w:ascii="Calibri" w:eastAsia="Times New Roman" w:hAnsi="Calibri" w:cs="Times New Roman"/>
                <w:color w:val="FFFFFF"/>
                <w:sz w:val="16"/>
                <w:szCs w:val="16"/>
                <w:lang w:eastAsia="nl-NL"/>
              </w:rPr>
            </w:pPr>
            <w:r w:rsidRPr="000D6AD3">
              <w:rPr>
                <w:rFonts w:ascii="Calibri" w:eastAsia="Times New Roman" w:hAnsi="Calibri" w:cs="Times New Roman"/>
                <w:color w:val="FFFFFF"/>
                <w:sz w:val="16"/>
                <w:szCs w:val="16"/>
                <w:lang w:eastAsia="nl-NL"/>
              </w:rPr>
              <w:t> </w:t>
            </w:r>
          </w:p>
        </w:tc>
        <w:tc>
          <w:tcPr>
            <w:tcW w:w="1065" w:type="dxa"/>
            <w:tcBorders>
              <w:top w:val="nil"/>
              <w:left w:val="nil"/>
              <w:bottom w:val="nil"/>
              <w:right w:val="nil"/>
            </w:tcBorders>
            <w:shd w:val="clear" w:color="auto" w:fill="auto"/>
            <w:noWrap/>
            <w:vAlign w:val="bottom"/>
            <w:hideMark/>
          </w:tcPr>
          <w:p w:rsidR="004618F4" w:rsidRPr="000D6AD3" w:rsidRDefault="004618F4" w:rsidP="00BC053C">
            <w:pPr>
              <w:rPr>
                <w:rFonts w:ascii="Calibri" w:eastAsia="Times New Roman" w:hAnsi="Calibri" w:cs="Times New Roman"/>
                <w:color w:val="FFFFFF"/>
                <w:sz w:val="16"/>
                <w:szCs w:val="16"/>
                <w:lang w:eastAsia="nl-NL"/>
              </w:rPr>
            </w:pPr>
          </w:p>
        </w:tc>
      </w:tr>
      <w:tr w:rsidR="004618F4" w:rsidRPr="000D6AD3" w:rsidTr="00B672DD">
        <w:trPr>
          <w:trHeight w:val="220"/>
        </w:trPr>
        <w:tc>
          <w:tcPr>
            <w:tcW w:w="8440"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c>
          <w:tcPr>
            <w:tcW w:w="1560"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c>
          <w:tcPr>
            <w:tcW w:w="1065"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r>
      <w:tr w:rsidR="004618F4" w:rsidRPr="000D6AD3" w:rsidTr="00B672DD">
        <w:trPr>
          <w:trHeight w:val="220"/>
        </w:trPr>
        <w:tc>
          <w:tcPr>
            <w:tcW w:w="8440"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c>
          <w:tcPr>
            <w:tcW w:w="1560"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c>
          <w:tcPr>
            <w:tcW w:w="1065" w:type="dxa"/>
            <w:tcBorders>
              <w:top w:val="nil"/>
              <w:left w:val="nil"/>
              <w:bottom w:val="nil"/>
              <w:right w:val="nil"/>
            </w:tcBorders>
            <w:shd w:val="clear" w:color="auto" w:fill="auto"/>
            <w:noWrap/>
            <w:vAlign w:val="bottom"/>
            <w:hideMark/>
          </w:tcPr>
          <w:p w:rsidR="004618F4" w:rsidRPr="000D6AD3" w:rsidRDefault="004618F4" w:rsidP="00BC053C">
            <w:pPr>
              <w:rPr>
                <w:rFonts w:ascii="Times New Roman" w:eastAsia="Times New Roman" w:hAnsi="Times New Roman" w:cs="Times New Roman"/>
                <w:sz w:val="20"/>
                <w:szCs w:val="20"/>
                <w:lang w:eastAsia="nl-NL"/>
              </w:rPr>
            </w:pPr>
          </w:p>
        </w:tc>
      </w:tr>
    </w:tbl>
    <w:p w:rsidR="00062080" w:rsidRDefault="00062080"/>
    <w:p w:rsidR="00062080" w:rsidRDefault="00062080"/>
    <w:p w:rsidR="00695966" w:rsidRDefault="00F76460">
      <w:r>
        <w:t>Op basis van de statistische benadering met behulp van de standaarddeviatie</w:t>
      </w:r>
      <w:r w:rsidR="00695966">
        <w:t xml:space="preserve"> zou je kunnen zeggen dat</w:t>
      </w:r>
    </w:p>
    <w:p w:rsidR="00062080" w:rsidRDefault="00F76460">
      <w:proofErr w:type="gramStart"/>
      <w:r>
        <w:t>er</w:t>
      </w:r>
      <w:proofErr w:type="gramEnd"/>
      <w:r>
        <w:t xml:space="preserve"> 2,5% kan</w:t>
      </w:r>
      <w:r>
        <w:t>s</w:t>
      </w:r>
      <w:r>
        <w:t xml:space="preserve"> is dat de index er aan de bovenkant zou uitlopen en 2,5% aan de onderkant.  </w:t>
      </w:r>
    </w:p>
    <w:p w:rsidR="004618F4" w:rsidRDefault="00F76460">
      <w:r>
        <w:t>V</w:t>
      </w:r>
      <w:r w:rsidR="004618F4">
        <w:t xml:space="preserve">an de 100 keer is er 95 keer winst, dan loopt de AEX-stand niet buiten de bandbreedte van 2 maal de </w:t>
      </w:r>
      <w:r w:rsidR="00695966">
        <w:t>standaarddeviatie.</w:t>
      </w:r>
      <w:r>
        <w:t xml:space="preserve"> </w:t>
      </w:r>
      <w:r w:rsidR="004618F4">
        <w:t xml:space="preserve">Voor de overige 5% dat de </w:t>
      </w:r>
      <w:proofErr w:type="spellStart"/>
      <w:r w:rsidR="004618F4">
        <w:t>strangle</w:t>
      </w:r>
      <w:proofErr w:type="spellEnd"/>
      <w:r w:rsidR="004618F4">
        <w:t xml:space="preserve"> wel eindigt buiten de geschreven limieten kunnen we ons verlies beperken door gebruik te maken van doorrollen in dezelfde maand en zoveel nieuwe opties te schrijven dat het verlies gedekt is.</w:t>
      </w:r>
    </w:p>
    <w:p w:rsidR="004618F4" w:rsidRDefault="004618F4">
      <w:r>
        <w:t xml:space="preserve">Het nadeel hiervan is dat bij doorrollen </w:t>
      </w:r>
      <w:r w:rsidR="007918CA">
        <w:t xml:space="preserve">meerdere optiecontracten worden </w:t>
      </w:r>
      <w:r w:rsidR="00A6593B">
        <w:t>geschreven</w:t>
      </w:r>
      <w:r w:rsidR="007918CA">
        <w:t xml:space="preserve"> en de</w:t>
      </w:r>
      <w:bookmarkStart w:id="1" w:name="_GoBack"/>
      <w:bookmarkEnd w:id="1"/>
      <w:r w:rsidR="007918CA">
        <w:t xml:space="preserve"> marge verplichting toeneemt.</w:t>
      </w:r>
    </w:p>
    <w:p w:rsidR="00167B8E" w:rsidRDefault="00455F18">
      <w:r>
        <w:t>Doorrollen:</w:t>
      </w:r>
      <w:r w:rsidR="00167B8E">
        <w:t xml:space="preserve"> Eerste </w:t>
      </w:r>
      <w:proofErr w:type="spellStart"/>
      <w:r w:rsidR="00167B8E">
        <w:t>strangle</w:t>
      </w:r>
      <w:proofErr w:type="spellEnd"/>
      <w:r w:rsidR="00167B8E">
        <w:t xml:space="preserve"> leverde 91 € op echter die moeten we sluiten op €2,73 en dus 3 </w:t>
      </w:r>
      <w:proofErr w:type="spellStart"/>
      <w:r w:rsidR="00167B8E">
        <w:t>strangles</w:t>
      </w:r>
      <w:proofErr w:type="spellEnd"/>
      <w:r w:rsidR="00167B8E">
        <w:t xml:space="preserve"> schrijven op AEX 475/535 om dit verlies te compenseren</w:t>
      </w:r>
      <w:r w:rsidR="001C6795">
        <w:t xml:space="preserve">. Nu hebben we een marge verplichting van 6 </w:t>
      </w:r>
      <w:r>
        <w:t>X €</w:t>
      </w:r>
      <w:r w:rsidR="001C6795">
        <w:t xml:space="preserve"> 4.000. = € 24.000,-</w:t>
      </w:r>
    </w:p>
    <w:p w:rsidR="00877FBC" w:rsidRDefault="00877FBC"/>
    <w:p w:rsidR="00877FBC" w:rsidRDefault="00877FBC"/>
    <w:p w:rsidR="00877FBC" w:rsidRDefault="00877FBC"/>
    <w:p w:rsidR="00877FBC" w:rsidRDefault="00877FBC"/>
    <w:p w:rsidR="00877FBC" w:rsidRDefault="00877FBC"/>
    <w:p w:rsidR="00877FBC" w:rsidRDefault="00877FBC"/>
    <w:p w:rsidR="00877FBC" w:rsidRDefault="00877FBC"/>
    <w:p w:rsidR="00856818" w:rsidRDefault="00856818"/>
    <w:p w:rsidR="00856818" w:rsidRDefault="00856818"/>
    <w:p w:rsidR="00856818" w:rsidRDefault="00856818"/>
    <w:p w:rsidR="00877FBC" w:rsidRDefault="00877FBC"/>
    <w:p w:rsidR="00877FBC" w:rsidRDefault="00877FBC"/>
    <w:p w:rsidR="00877FBC" w:rsidRDefault="00877FBC"/>
    <w:p w:rsidR="00877FBC" w:rsidRDefault="00877FBC"/>
    <w:p w:rsidR="00877FBC" w:rsidRDefault="00877FBC"/>
    <w:p w:rsidR="00877FBC" w:rsidRDefault="00877FBC"/>
    <w:p w:rsidR="00877FBC" w:rsidRDefault="00877FBC"/>
    <w:p w:rsidR="001472B1" w:rsidRDefault="001472B1"/>
    <w:p w:rsidR="009C0CD4" w:rsidRDefault="009C0CD4" w:rsidP="00B93016"/>
    <w:p w:rsidR="00877FBC" w:rsidRDefault="00877FBC" w:rsidP="00B93016"/>
    <w:p w:rsidR="00822A8E" w:rsidRDefault="00200918" w:rsidP="00B93016">
      <w:r>
        <w:lastRenderedPageBreak/>
        <w:t>Gedurende een maand met een beginstand van de AEX van 540</w:t>
      </w:r>
    </w:p>
    <w:p w:rsidR="00822A8E" w:rsidRDefault="00822A8E" w:rsidP="00B93016"/>
    <w:tbl>
      <w:tblPr>
        <w:tblStyle w:val="Tabelraster"/>
        <w:tblW w:w="12753" w:type="dxa"/>
        <w:tblLook w:val="04A0" w:firstRow="1" w:lastRow="0" w:firstColumn="1" w:lastColumn="0" w:noHBand="0" w:noVBand="1"/>
      </w:tblPr>
      <w:tblGrid>
        <w:gridCol w:w="2405"/>
        <w:gridCol w:w="2693"/>
        <w:gridCol w:w="2693"/>
        <w:gridCol w:w="2552"/>
        <w:gridCol w:w="2410"/>
      </w:tblGrid>
      <w:tr w:rsidR="00822A8E" w:rsidTr="00822A8E">
        <w:tc>
          <w:tcPr>
            <w:tcW w:w="2405" w:type="dxa"/>
          </w:tcPr>
          <w:p w:rsidR="00822A8E" w:rsidRDefault="00822A8E" w:rsidP="00822A8E">
            <w:pPr>
              <w:jc w:val="center"/>
            </w:pPr>
            <w:r>
              <w:t>AEX-stand</w:t>
            </w:r>
          </w:p>
        </w:tc>
        <w:tc>
          <w:tcPr>
            <w:tcW w:w="2693" w:type="dxa"/>
          </w:tcPr>
          <w:p w:rsidR="00822A8E" w:rsidRDefault="00822A8E" w:rsidP="00822A8E">
            <w:pPr>
              <w:jc w:val="center"/>
            </w:pPr>
            <w:r>
              <w:t>% afwijking van AEX 540</w:t>
            </w:r>
          </w:p>
        </w:tc>
        <w:tc>
          <w:tcPr>
            <w:tcW w:w="2693" w:type="dxa"/>
          </w:tcPr>
          <w:p w:rsidR="00822A8E" w:rsidRDefault="00822A8E" w:rsidP="00822A8E">
            <w:pPr>
              <w:jc w:val="center"/>
            </w:pPr>
            <w:r>
              <w:t>Aantal malen doorrollen</w:t>
            </w:r>
          </w:p>
        </w:tc>
        <w:tc>
          <w:tcPr>
            <w:tcW w:w="2552" w:type="dxa"/>
          </w:tcPr>
          <w:p w:rsidR="00822A8E" w:rsidRDefault="00822A8E" w:rsidP="00822A8E">
            <w:pPr>
              <w:jc w:val="center"/>
            </w:pPr>
            <w:r>
              <w:t>Marge verplichting</w:t>
            </w:r>
          </w:p>
        </w:tc>
        <w:tc>
          <w:tcPr>
            <w:tcW w:w="2410" w:type="dxa"/>
          </w:tcPr>
          <w:p w:rsidR="00822A8E" w:rsidRDefault="00822A8E" w:rsidP="00822A8E">
            <w:pPr>
              <w:jc w:val="center"/>
            </w:pPr>
            <w:r>
              <w:t>Historische kans</w:t>
            </w:r>
          </w:p>
        </w:tc>
      </w:tr>
      <w:tr w:rsidR="00822A8E" w:rsidTr="00822A8E">
        <w:tc>
          <w:tcPr>
            <w:tcW w:w="2405" w:type="dxa"/>
          </w:tcPr>
          <w:p w:rsidR="00822A8E" w:rsidRDefault="00822A8E" w:rsidP="00822A8E">
            <w:pPr>
              <w:jc w:val="center"/>
            </w:pPr>
            <w:r>
              <w:t>636,14</w:t>
            </w:r>
          </w:p>
        </w:tc>
        <w:tc>
          <w:tcPr>
            <w:tcW w:w="2693" w:type="dxa"/>
          </w:tcPr>
          <w:p w:rsidR="00822A8E" w:rsidRDefault="00822A8E" w:rsidP="00822A8E">
            <w:pPr>
              <w:jc w:val="center"/>
            </w:pPr>
            <w:r>
              <w:t>17,80%</w:t>
            </w:r>
          </w:p>
        </w:tc>
        <w:tc>
          <w:tcPr>
            <w:tcW w:w="2693" w:type="dxa"/>
          </w:tcPr>
          <w:p w:rsidR="00822A8E" w:rsidRDefault="00822A8E" w:rsidP="00822A8E">
            <w:pPr>
              <w:jc w:val="center"/>
            </w:pPr>
            <w:r>
              <w:t>4</w:t>
            </w:r>
          </w:p>
        </w:tc>
        <w:tc>
          <w:tcPr>
            <w:tcW w:w="2552" w:type="dxa"/>
          </w:tcPr>
          <w:p w:rsidR="00822A8E" w:rsidRDefault="00822A8E" w:rsidP="00822A8E">
            <w:pPr>
              <w:jc w:val="center"/>
            </w:pPr>
            <w:r>
              <w:t>648.000</w:t>
            </w:r>
          </w:p>
        </w:tc>
        <w:tc>
          <w:tcPr>
            <w:tcW w:w="2410" w:type="dxa"/>
          </w:tcPr>
          <w:p w:rsidR="00822A8E" w:rsidRDefault="00822A8E" w:rsidP="00822A8E">
            <w:pPr>
              <w:jc w:val="center"/>
            </w:pPr>
            <w:r>
              <w:t>0</w:t>
            </w:r>
          </w:p>
        </w:tc>
      </w:tr>
      <w:tr w:rsidR="00822A8E" w:rsidTr="00822A8E">
        <w:trPr>
          <w:trHeight w:val="182"/>
        </w:trPr>
        <w:tc>
          <w:tcPr>
            <w:tcW w:w="2405" w:type="dxa"/>
          </w:tcPr>
          <w:p w:rsidR="00822A8E" w:rsidRDefault="00822A8E" w:rsidP="00822A8E">
            <w:pPr>
              <w:jc w:val="center"/>
            </w:pPr>
            <w:r>
              <w:t>633,60</w:t>
            </w:r>
          </w:p>
        </w:tc>
        <w:tc>
          <w:tcPr>
            <w:tcW w:w="2693" w:type="dxa"/>
          </w:tcPr>
          <w:p w:rsidR="00822A8E" w:rsidRDefault="00822A8E" w:rsidP="00822A8E">
            <w:pPr>
              <w:jc w:val="center"/>
            </w:pPr>
            <w:r>
              <w:t>17,33%</w:t>
            </w:r>
          </w:p>
        </w:tc>
        <w:tc>
          <w:tcPr>
            <w:tcW w:w="2693" w:type="dxa"/>
          </w:tcPr>
          <w:p w:rsidR="00822A8E" w:rsidRDefault="00822A8E" w:rsidP="00822A8E">
            <w:pPr>
              <w:jc w:val="center"/>
            </w:pPr>
            <w:r>
              <w:t>3</w:t>
            </w:r>
          </w:p>
        </w:tc>
        <w:tc>
          <w:tcPr>
            <w:tcW w:w="2552" w:type="dxa"/>
          </w:tcPr>
          <w:p w:rsidR="00822A8E" w:rsidRDefault="00822A8E" w:rsidP="00822A8E">
            <w:pPr>
              <w:jc w:val="center"/>
            </w:pPr>
            <w:r>
              <w:t>216.000</w:t>
            </w:r>
          </w:p>
        </w:tc>
        <w:tc>
          <w:tcPr>
            <w:tcW w:w="2410" w:type="dxa"/>
          </w:tcPr>
          <w:p w:rsidR="00822A8E" w:rsidRDefault="00822A8E" w:rsidP="00822A8E">
            <w:pPr>
              <w:jc w:val="center"/>
            </w:pPr>
            <w:r>
              <w:t>1</w:t>
            </w:r>
          </w:p>
        </w:tc>
      </w:tr>
      <w:tr w:rsidR="00822A8E" w:rsidTr="00822A8E">
        <w:tc>
          <w:tcPr>
            <w:tcW w:w="2405" w:type="dxa"/>
          </w:tcPr>
          <w:p w:rsidR="00822A8E" w:rsidRDefault="00822A8E" w:rsidP="00822A8E">
            <w:pPr>
              <w:jc w:val="center"/>
            </w:pPr>
            <w:r>
              <w:t>621,18</w:t>
            </w:r>
          </w:p>
        </w:tc>
        <w:tc>
          <w:tcPr>
            <w:tcW w:w="2693" w:type="dxa"/>
          </w:tcPr>
          <w:p w:rsidR="00822A8E" w:rsidRDefault="00822A8E" w:rsidP="00822A8E">
            <w:pPr>
              <w:jc w:val="center"/>
            </w:pPr>
            <w:r>
              <w:t>15,59%</w:t>
            </w:r>
          </w:p>
        </w:tc>
        <w:tc>
          <w:tcPr>
            <w:tcW w:w="2693" w:type="dxa"/>
          </w:tcPr>
          <w:p w:rsidR="00822A8E" w:rsidRDefault="00822A8E" w:rsidP="00822A8E">
            <w:pPr>
              <w:jc w:val="center"/>
            </w:pPr>
            <w:r>
              <w:t>2</w:t>
            </w:r>
          </w:p>
        </w:tc>
        <w:tc>
          <w:tcPr>
            <w:tcW w:w="2552" w:type="dxa"/>
          </w:tcPr>
          <w:p w:rsidR="00822A8E" w:rsidRDefault="00822A8E" w:rsidP="00822A8E">
            <w:pPr>
              <w:jc w:val="center"/>
            </w:pPr>
            <w:r>
              <w:t>72.000</w:t>
            </w:r>
          </w:p>
        </w:tc>
        <w:tc>
          <w:tcPr>
            <w:tcW w:w="2410" w:type="dxa"/>
          </w:tcPr>
          <w:p w:rsidR="00822A8E" w:rsidRDefault="00822A8E" w:rsidP="00822A8E">
            <w:pPr>
              <w:jc w:val="center"/>
            </w:pPr>
            <w:r>
              <w:t>3</w:t>
            </w:r>
          </w:p>
        </w:tc>
      </w:tr>
      <w:tr w:rsidR="00822A8E" w:rsidTr="00822A8E">
        <w:tc>
          <w:tcPr>
            <w:tcW w:w="2405" w:type="dxa"/>
          </w:tcPr>
          <w:p w:rsidR="00822A8E" w:rsidRDefault="00822A8E" w:rsidP="00822A8E">
            <w:pPr>
              <w:jc w:val="center"/>
            </w:pPr>
            <w:r>
              <w:t>609,00</w:t>
            </w:r>
          </w:p>
        </w:tc>
        <w:tc>
          <w:tcPr>
            <w:tcW w:w="2693" w:type="dxa"/>
          </w:tcPr>
          <w:p w:rsidR="00822A8E" w:rsidRDefault="00822A8E" w:rsidP="00822A8E">
            <w:pPr>
              <w:jc w:val="center"/>
            </w:pPr>
            <w:r>
              <w:t>12,78%</w:t>
            </w:r>
          </w:p>
        </w:tc>
        <w:tc>
          <w:tcPr>
            <w:tcW w:w="2693" w:type="dxa"/>
          </w:tcPr>
          <w:p w:rsidR="00822A8E" w:rsidRDefault="00822A8E" w:rsidP="00822A8E">
            <w:pPr>
              <w:jc w:val="center"/>
            </w:pPr>
            <w:r>
              <w:t>1</w:t>
            </w:r>
          </w:p>
        </w:tc>
        <w:tc>
          <w:tcPr>
            <w:tcW w:w="2552" w:type="dxa"/>
          </w:tcPr>
          <w:p w:rsidR="00822A8E" w:rsidRDefault="00822A8E" w:rsidP="00822A8E">
            <w:pPr>
              <w:jc w:val="center"/>
            </w:pPr>
            <w:r>
              <w:t>24.000</w:t>
            </w:r>
          </w:p>
        </w:tc>
        <w:tc>
          <w:tcPr>
            <w:tcW w:w="2410" w:type="dxa"/>
          </w:tcPr>
          <w:p w:rsidR="00822A8E" w:rsidRDefault="00822A8E" w:rsidP="00822A8E">
            <w:pPr>
              <w:jc w:val="center"/>
            </w:pPr>
            <w:r>
              <w:t>4</w:t>
            </w:r>
          </w:p>
        </w:tc>
      </w:tr>
      <w:tr w:rsidR="00822A8E" w:rsidTr="00822A8E">
        <w:tc>
          <w:tcPr>
            <w:tcW w:w="2405" w:type="dxa"/>
          </w:tcPr>
          <w:p w:rsidR="00822A8E" w:rsidRDefault="00822A8E" w:rsidP="00822A8E">
            <w:pPr>
              <w:jc w:val="center"/>
            </w:pPr>
            <w:r>
              <w:t>580,00</w:t>
            </w:r>
          </w:p>
        </w:tc>
        <w:tc>
          <w:tcPr>
            <w:tcW w:w="2693" w:type="dxa"/>
          </w:tcPr>
          <w:p w:rsidR="00822A8E" w:rsidRDefault="00822A8E" w:rsidP="00822A8E">
            <w:pPr>
              <w:jc w:val="center"/>
            </w:pPr>
            <w:r>
              <w:t>7,41%</w:t>
            </w:r>
          </w:p>
        </w:tc>
        <w:tc>
          <w:tcPr>
            <w:tcW w:w="2693" w:type="dxa"/>
          </w:tcPr>
          <w:p w:rsidR="00822A8E" w:rsidRDefault="00822A8E" w:rsidP="00822A8E">
            <w:pPr>
              <w:jc w:val="center"/>
            </w:pPr>
            <w:r>
              <w:t>0</w:t>
            </w:r>
          </w:p>
        </w:tc>
        <w:tc>
          <w:tcPr>
            <w:tcW w:w="2552" w:type="dxa"/>
          </w:tcPr>
          <w:p w:rsidR="00822A8E" w:rsidRDefault="00822A8E" w:rsidP="00822A8E">
            <w:pPr>
              <w:jc w:val="center"/>
            </w:pPr>
            <w:r>
              <w:t>4.000</w:t>
            </w:r>
          </w:p>
        </w:tc>
        <w:tc>
          <w:tcPr>
            <w:tcW w:w="2410" w:type="dxa"/>
          </w:tcPr>
          <w:p w:rsidR="00822A8E" w:rsidRPr="004936B1" w:rsidRDefault="00822A8E" w:rsidP="00822A8E">
            <w:pPr>
              <w:jc w:val="center"/>
            </w:pPr>
          </w:p>
        </w:tc>
      </w:tr>
      <w:tr w:rsidR="00822A8E" w:rsidTr="00822A8E">
        <w:tc>
          <w:tcPr>
            <w:tcW w:w="2405" w:type="dxa"/>
          </w:tcPr>
          <w:p w:rsidR="00822A8E" w:rsidRDefault="00822A8E" w:rsidP="00822A8E">
            <w:pPr>
              <w:jc w:val="center"/>
            </w:pPr>
            <w:r>
              <w:t>540,00</w:t>
            </w:r>
          </w:p>
        </w:tc>
        <w:tc>
          <w:tcPr>
            <w:tcW w:w="2693" w:type="dxa"/>
          </w:tcPr>
          <w:p w:rsidR="00822A8E" w:rsidRDefault="00822A8E" w:rsidP="00822A8E">
            <w:pPr>
              <w:jc w:val="center"/>
            </w:pPr>
            <w:r>
              <w:t>0</w:t>
            </w:r>
          </w:p>
        </w:tc>
        <w:tc>
          <w:tcPr>
            <w:tcW w:w="2693" w:type="dxa"/>
          </w:tcPr>
          <w:p w:rsidR="00822A8E" w:rsidRDefault="00822A8E" w:rsidP="00822A8E">
            <w:pPr>
              <w:jc w:val="center"/>
            </w:pPr>
          </w:p>
        </w:tc>
        <w:tc>
          <w:tcPr>
            <w:tcW w:w="2552" w:type="dxa"/>
          </w:tcPr>
          <w:p w:rsidR="00822A8E" w:rsidRDefault="00822A8E" w:rsidP="00822A8E"/>
        </w:tc>
        <w:tc>
          <w:tcPr>
            <w:tcW w:w="2410" w:type="dxa"/>
          </w:tcPr>
          <w:p w:rsidR="00822A8E" w:rsidRPr="004936B1" w:rsidRDefault="00822A8E" w:rsidP="00822A8E">
            <w:pPr>
              <w:jc w:val="center"/>
            </w:pPr>
            <w:r w:rsidRPr="004936B1">
              <w:t>410</w:t>
            </w:r>
          </w:p>
        </w:tc>
      </w:tr>
      <w:tr w:rsidR="00822A8E" w:rsidTr="00822A8E">
        <w:tc>
          <w:tcPr>
            <w:tcW w:w="2405" w:type="dxa"/>
          </w:tcPr>
          <w:p w:rsidR="00822A8E" w:rsidRDefault="00822A8E" w:rsidP="00822A8E">
            <w:pPr>
              <w:jc w:val="center"/>
            </w:pPr>
            <w:r>
              <w:t>500,00</w:t>
            </w:r>
          </w:p>
        </w:tc>
        <w:tc>
          <w:tcPr>
            <w:tcW w:w="2693" w:type="dxa"/>
          </w:tcPr>
          <w:p w:rsidR="00822A8E" w:rsidRDefault="00822A8E" w:rsidP="00822A8E">
            <w:pPr>
              <w:jc w:val="center"/>
            </w:pPr>
            <w:r>
              <w:t>7,41%</w:t>
            </w:r>
          </w:p>
        </w:tc>
        <w:tc>
          <w:tcPr>
            <w:tcW w:w="2693" w:type="dxa"/>
          </w:tcPr>
          <w:p w:rsidR="00822A8E" w:rsidRDefault="00822A8E" w:rsidP="00822A8E">
            <w:pPr>
              <w:jc w:val="center"/>
            </w:pPr>
            <w:r>
              <w:t>0</w:t>
            </w:r>
          </w:p>
        </w:tc>
        <w:tc>
          <w:tcPr>
            <w:tcW w:w="2552" w:type="dxa"/>
          </w:tcPr>
          <w:p w:rsidR="00822A8E" w:rsidRDefault="00822A8E" w:rsidP="00822A8E">
            <w:pPr>
              <w:jc w:val="center"/>
            </w:pPr>
            <w:r>
              <w:t>4.000</w:t>
            </w:r>
          </w:p>
        </w:tc>
        <w:tc>
          <w:tcPr>
            <w:tcW w:w="2410" w:type="dxa"/>
          </w:tcPr>
          <w:p w:rsidR="00822A8E" w:rsidRPr="004936B1" w:rsidRDefault="00822A8E" w:rsidP="00822A8E">
            <w:pPr>
              <w:jc w:val="center"/>
            </w:pPr>
          </w:p>
        </w:tc>
      </w:tr>
      <w:tr w:rsidR="00822A8E" w:rsidTr="00822A8E">
        <w:tc>
          <w:tcPr>
            <w:tcW w:w="2405" w:type="dxa"/>
          </w:tcPr>
          <w:p w:rsidR="00822A8E" w:rsidRDefault="00822A8E" w:rsidP="00822A8E">
            <w:pPr>
              <w:jc w:val="center"/>
            </w:pPr>
            <w:r>
              <w:t>475,00</w:t>
            </w:r>
          </w:p>
        </w:tc>
        <w:tc>
          <w:tcPr>
            <w:tcW w:w="2693" w:type="dxa"/>
          </w:tcPr>
          <w:p w:rsidR="00822A8E" w:rsidRDefault="00822A8E" w:rsidP="00822A8E">
            <w:pPr>
              <w:jc w:val="center"/>
            </w:pPr>
            <w:r>
              <w:t>12,04%</w:t>
            </w:r>
          </w:p>
        </w:tc>
        <w:tc>
          <w:tcPr>
            <w:tcW w:w="2693" w:type="dxa"/>
          </w:tcPr>
          <w:p w:rsidR="00822A8E" w:rsidRDefault="00822A8E" w:rsidP="00822A8E">
            <w:pPr>
              <w:jc w:val="center"/>
            </w:pPr>
            <w:r>
              <w:t>1</w:t>
            </w:r>
          </w:p>
        </w:tc>
        <w:tc>
          <w:tcPr>
            <w:tcW w:w="2552" w:type="dxa"/>
          </w:tcPr>
          <w:p w:rsidR="00822A8E" w:rsidRDefault="00822A8E" w:rsidP="00822A8E">
            <w:pPr>
              <w:jc w:val="center"/>
            </w:pPr>
            <w:r>
              <w:t>24.000</w:t>
            </w:r>
          </w:p>
        </w:tc>
        <w:tc>
          <w:tcPr>
            <w:tcW w:w="2410" w:type="dxa"/>
          </w:tcPr>
          <w:p w:rsidR="00822A8E" w:rsidRDefault="00822A8E" w:rsidP="00822A8E">
            <w:pPr>
              <w:jc w:val="center"/>
            </w:pPr>
            <w:r>
              <w:t>10</w:t>
            </w:r>
          </w:p>
        </w:tc>
      </w:tr>
      <w:tr w:rsidR="00822A8E" w:rsidTr="00822A8E">
        <w:tc>
          <w:tcPr>
            <w:tcW w:w="2405" w:type="dxa"/>
          </w:tcPr>
          <w:p w:rsidR="00822A8E" w:rsidRDefault="00822A8E" w:rsidP="00822A8E">
            <w:pPr>
              <w:jc w:val="center"/>
            </w:pPr>
            <w:r>
              <w:t>456,00</w:t>
            </w:r>
          </w:p>
        </w:tc>
        <w:tc>
          <w:tcPr>
            <w:tcW w:w="2693" w:type="dxa"/>
          </w:tcPr>
          <w:p w:rsidR="00822A8E" w:rsidRDefault="00822A8E" w:rsidP="00822A8E">
            <w:pPr>
              <w:jc w:val="center"/>
            </w:pPr>
            <w:r>
              <w:t>15,56%</w:t>
            </w:r>
          </w:p>
        </w:tc>
        <w:tc>
          <w:tcPr>
            <w:tcW w:w="2693" w:type="dxa"/>
          </w:tcPr>
          <w:p w:rsidR="00822A8E" w:rsidRDefault="00822A8E" w:rsidP="00822A8E">
            <w:pPr>
              <w:jc w:val="center"/>
            </w:pPr>
            <w:r>
              <w:t>2</w:t>
            </w:r>
          </w:p>
        </w:tc>
        <w:tc>
          <w:tcPr>
            <w:tcW w:w="2552" w:type="dxa"/>
          </w:tcPr>
          <w:p w:rsidR="00822A8E" w:rsidRDefault="00822A8E" w:rsidP="00822A8E">
            <w:pPr>
              <w:jc w:val="center"/>
            </w:pPr>
            <w:r>
              <w:t>72.000</w:t>
            </w:r>
          </w:p>
        </w:tc>
        <w:tc>
          <w:tcPr>
            <w:tcW w:w="2410" w:type="dxa"/>
          </w:tcPr>
          <w:p w:rsidR="00822A8E" w:rsidRDefault="00822A8E" w:rsidP="00822A8E">
            <w:pPr>
              <w:jc w:val="center"/>
            </w:pPr>
            <w:r>
              <w:t>6</w:t>
            </w:r>
          </w:p>
        </w:tc>
      </w:tr>
      <w:tr w:rsidR="00822A8E" w:rsidTr="00822A8E">
        <w:tc>
          <w:tcPr>
            <w:tcW w:w="2405" w:type="dxa"/>
          </w:tcPr>
          <w:p w:rsidR="00822A8E" w:rsidRDefault="00822A8E" w:rsidP="00822A8E">
            <w:pPr>
              <w:jc w:val="center"/>
            </w:pPr>
            <w:r>
              <w:t>442,32</w:t>
            </w:r>
          </w:p>
        </w:tc>
        <w:tc>
          <w:tcPr>
            <w:tcW w:w="2693" w:type="dxa"/>
          </w:tcPr>
          <w:p w:rsidR="00822A8E" w:rsidRDefault="00822A8E" w:rsidP="00822A8E">
            <w:pPr>
              <w:jc w:val="center"/>
            </w:pPr>
            <w:r>
              <w:t>18,09%</w:t>
            </w:r>
          </w:p>
        </w:tc>
        <w:tc>
          <w:tcPr>
            <w:tcW w:w="2693" w:type="dxa"/>
          </w:tcPr>
          <w:p w:rsidR="00822A8E" w:rsidRDefault="00822A8E" w:rsidP="00822A8E">
            <w:pPr>
              <w:jc w:val="center"/>
            </w:pPr>
            <w:r>
              <w:t>3</w:t>
            </w:r>
          </w:p>
        </w:tc>
        <w:tc>
          <w:tcPr>
            <w:tcW w:w="2552" w:type="dxa"/>
          </w:tcPr>
          <w:p w:rsidR="00822A8E" w:rsidRDefault="00822A8E" w:rsidP="00822A8E">
            <w:pPr>
              <w:jc w:val="center"/>
            </w:pPr>
            <w:r>
              <w:t>216.000</w:t>
            </w:r>
          </w:p>
        </w:tc>
        <w:tc>
          <w:tcPr>
            <w:tcW w:w="2410" w:type="dxa"/>
          </w:tcPr>
          <w:p w:rsidR="00822A8E" w:rsidRDefault="00822A8E" w:rsidP="00822A8E">
            <w:pPr>
              <w:jc w:val="center"/>
            </w:pPr>
            <w:r>
              <w:t>4</w:t>
            </w:r>
          </w:p>
        </w:tc>
      </w:tr>
      <w:tr w:rsidR="00822A8E" w:rsidTr="00822A8E">
        <w:tc>
          <w:tcPr>
            <w:tcW w:w="2405" w:type="dxa"/>
          </w:tcPr>
          <w:p w:rsidR="00822A8E" w:rsidRDefault="00822A8E" w:rsidP="00822A8E">
            <w:pPr>
              <w:jc w:val="center"/>
            </w:pPr>
            <w:r>
              <w:t>429,04</w:t>
            </w:r>
          </w:p>
        </w:tc>
        <w:tc>
          <w:tcPr>
            <w:tcW w:w="2693" w:type="dxa"/>
          </w:tcPr>
          <w:p w:rsidR="00822A8E" w:rsidRDefault="00822A8E" w:rsidP="00822A8E">
            <w:pPr>
              <w:jc w:val="center"/>
            </w:pPr>
            <w:r>
              <w:t>20,55%</w:t>
            </w:r>
          </w:p>
        </w:tc>
        <w:tc>
          <w:tcPr>
            <w:tcW w:w="2693" w:type="dxa"/>
          </w:tcPr>
          <w:p w:rsidR="00822A8E" w:rsidRDefault="00822A8E" w:rsidP="00822A8E">
            <w:pPr>
              <w:jc w:val="center"/>
            </w:pPr>
            <w:r>
              <w:t>4</w:t>
            </w:r>
          </w:p>
        </w:tc>
        <w:tc>
          <w:tcPr>
            <w:tcW w:w="2552" w:type="dxa"/>
          </w:tcPr>
          <w:p w:rsidR="00822A8E" w:rsidRDefault="00822A8E" w:rsidP="00822A8E">
            <w:pPr>
              <w:jc w:val="center"/>
            </w:pPr>
            <w:r>
              <w:t>648.000</w:t>
            </w:r>
          </w:p>
        </w:tc>
        <w:tc>
          <w:tcPr>
            <w:tcW w:w="2410" w:type="dxa"/>
          </w:tcPr>
          <w:p w:rsidR="00822A8E" w:rsidRDefault="00822A8E" w:rsidP="00822A8E">
            <w:pPr>
              <w:jc w:val="center"/>
            </w:pPr>
            <w:r>
              <w:t>1</w:t>
            </w:r>
          </w:p>
        </w:tc>
      </w:tr>
    </w:tbl>
    <w:p w:rsidR="00877FBC" w:rsidRDefault="00877FBC" w:rsidP="00B93016"/>
    <w:p w:rsidR="00B672DD" w:rsidRDefault="00B672DD" w:rsidP="00B93016"/>
    <w:p w:rsidR="00B672DD" w:rsidRDefault="00B672DD" w:rsidP="00B93016"/>
    <w:p w:rsidR="00B672DD" w:rsidRDefault="00B672DD" w:rsidP="00B93016"/>
    <w:p w:rsidR="00B672DD" w:rsidRDefault="00B672DD" w:rsidP="00B93016"/>
    <w:p w:rsidR="00B672DD" w:rsidRDefault="00B672DD" w:rsidP="00B93016"/>
    <w:p w:rsidR="00B672DD" w:rsidRDefault="00B672DD" w:rsidP="00B93016"/>
    <w:p w:rsidR="00B672DD" w:rsidRDefault="00B672DD" w:rsidP="00B93016"/>
    <w:p w:rsidR="00B672DD" w:rsidRDefault="00B672DD" w:rsidP="00B93016"/>
    <w:p w:rsidR="00B672DD" w:rsidRDefault="00B672DD" w:rsidP="00B93016"/>
    <w:p w:rsidR="00B672DD" w:rsidRDefault="00B672DD" w:rsidP="00B93016"/>
    <w:p w:rsidR="00B672DD" w:rsidRDefault="00B672DD" w:rsidP="00B93016"/>
    <w:p w:rsidR="00B672DD" w:rsidRDefault="00B672DD" w:rsidP="00B93016"/>
    <w:p w:rsidR="00B672DD" w:rsidRDefault="00B672DD" w:rsidP="00B93016"/>
    <w:p w:rsidR="00B672DD" w:rsidRDefault="00B672DD" w:rsidP="00B93016"/>
    <w:tbl>
      <w:tblPr>
        <w:tblW w:w="11065" w:type="dxa"/>
        <w:tblCellMar>
          <w:left w:w="70" w:type="dxa"/>
          <w:right w:w="70" w:type="dxa"/>
        </w:tblCellMar>
        <w:tblLook w:val="04A0" w:firstRow="1" w:lastRow="0" w:firstColumn="1" w:lastColumn="0" w:noHBand="0" w:noVBand="1"/>
      </w:tblPr>
      <w:tblGrid>
        <w:gridCol w:w="11065"/>
      </w:tblGrid>
      <w:tr w:rsidR="00B672DD" w:rsidRPr="000D6AD3" w:rsidTr="00BC053C">
        <w:trPr>
          <w:trHeight w:val="340"/>
        </w:trPr>
        <w:tc>
          <w:tcPr>
            <w:tcW w:w="5081" w:type="dxa"/>
            <w:tcBorders>
              <w:top w:val="nil"/>
              <w:left w:val="nil"/>
              <w:bottom w:val="nil"/>
              <w:right w:val="nil"/>
            </w:tcBorders>
            <w:shd w:val="clear" w:color="auto" w:fill="auto"/>
            <w:noWrap/>
            <w:vAlign w:val="bottom"/>
            <w:hideMark/>
          </w:tcPr>
          <w:p w:rsidR="00B672DD" w:rsidRPr="000D6AD3" w:rsidRDefault="00B672DD" w:rsidP="00BC053C">
            <w:pPr>
              <w:rPr>
                <w:rFonts w:ascii="Calibri" w:eastAsia="Times New Roman" w:hAnsi="Calibri" w:cs="Times New Roman"/>
                <w:color w:val="000000"/>
                <w:lang w:eastAsia="nl-NL"/>
              </w:rPr>
            </w:pPr>
            <w:r w:rsidRPr="000D6AD3">
              <w:rPr>
                <w:rFonts w:ascii="Calibri" w:eastAsia="Times New Roman" w:hAnsi="Calibri" w:cs="Times New Roman"/>
                <w:noProof/>
                <w:color w:val="000000"/>
                <w:lang w:eastAsia="nl-NL"/>
              </w:rPr>
              <w:drawing>
                <wp:anchor distT="0" distB="0" distL="114300" distR="114300" simplePos="0" relativeHeight="251662336" behindDoc="0" locked="0" layoutInCell="1" allowOverlap="1" wp14:anchorId="360DE7FF" wp14:editId="4E89FA20">
                  <wp:simplePos x="0" y="0"/>
                  <wp:positionH relativeFrom="column">
                    <wp:posOffset>0</wp:posOffset>
                  </wp:positionH>
                  <wp:positionV relativeFrom="paragraph">
                    <wp:posOffset>0</wp:posOffset>
                  </wp:positionV>
                  <wp:extent cx="190500" cy="190500"/>
                  <wp:effectExtent l="0" t="0" r="0" b="0"/>
                  <wp:wrapNone/>
                  <wp:docPr id="6" name="Afbeelding 6" descr="Red Arrow Down.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Red Arrow Down.sv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060"/>
            </w:tblGrid>
            <w:tr w:rsidR="00B672DD" w:rsidRPr="000D6AD3" w:rsidTr="00BC053C">
              <w:trPr>
                <w:trHeight w:val="340"/>
                <w:tblCellSpacing w:w="0" w:type="dxa"/>
              </w:trPr>
              <w:tc>
                <w:tcPr>
                  <w:tcW w:w="5060" w:type="dxa"/>
                  <w:tcBorders>
                    <w:top w:val="nil"/>
                    <w:left w:val="nil"/>
                    <w:bottom w:val="nil"/>
                    <w:right w:val="nil"/>
                  </w:tcBorders>
                  <w:shd w:val="clear" w:color="auto" w:fill="auto"/>
                  <w:vAlign w:val="center"/>
                  <w:hideMark/>
                </w:tcPr>
                <w:p w:rsidR="00B672DD" w:rsidRPr="000D6AD3" w:rsidRDefault="00695966" w:rsidP="00BC053C">
                  <w:pPr>
                    <w:rPr>
                      <w:rFonts w:ascii="Calibri" w:eastAsia="Times New Roman" w:hAnsi="Calibri" w:cs="Times New Roman"/>
                      <w:color w:val="0563C1"/>
                      <w:u w:val="single"/>
                      <w:lang w:eastAsia="nl-NL"/>
                    </w:rPr>
                  </w:pPr>
                  <w:hyperlink r:id="rId7" w:history="1">
                    <w:r w:rsidR="00B672DD" w:rsidRPr="000D6AD3">
                      <w:rPr>
                        <w:rFonts w:ascii="Calibri" w:eastAsia="Times New Roman" w:hAnsi="Calibri" w:cs="Times New Roman"/>
                        <w:color w:val="0563C1"/>
                        <w:u w:val="single"/>
                        <w:lang w:eastAsia="nl-NL"/>
                      </w:rPr>
                      <w:t> Grootste verliezen AEX per maand:</w:t>
                    </w:r>
                  </w:hyperlink>
                </w:p>
              </w:tc>
            </w:tr>
          </w:tbl>
          <w:p w:rsidR="00B672DD" w:rsidRPr="000D6AD3" w:rsidRDefault="00B672DD" w:rsidP="00BC053C">
            <w:pPr>
              <w:rPr>
                <w:rFonts w:ascii="Calibri" w:eastAsia="Times New Roman" w:hAnsi="Calibri" w:cs="Times New Roman"/>
                <w:color w:val="000000"/>
                <w:lang w:eastAsia="nl-NL"/>
              </w:rPr>
            </w:pPr>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B672DD" w:rsidP="00BC053C">
            <w:pPr>
              <w:ind w:firstLineChars="100" w:firstLine="240"/>
              <w:rPr>
                <w:rFonts w:ascii="Arial" w:eastAsia="Times New Roman" w:hAnsi="Arial" w:cs="Arial"/>
                <w:color w:val="222222"/>
                <w:lang w:eastAsia="nl-NL"/>
              </w:rPr>
            </w:pPr>
            <w:r w:rsidRPr="000D6AD3">
              <w:rPr>
                <w:rFonts w:ascii="Arial" w:eastAsia="Times New Roman" w:hAnsi="Arial" w:cs="Arial"/>
                <w:color w:val="222222"/>
                <w:lang w:eastAsia="nl-NL"/>
              </w:rPr>
              <w:lastRenderedPageBreak/>
              <w:t>1. oktober 1987 (-27,53%)</w:t>
            </w:r>
            <w:r>
              <w:rPr>
                <w:rFonts w:ascii="Arial" w:eastAsia="Times New Roman" w:hAnsi="Arial" w:cs="Arial"/>
                <w:color w:val="222222"/>
                <w:lang w:eastAsia="nl-NL"/>
              </w:rPr>
              <w:t xml:space="preserve"> neem ik niet mee </w:t>
            </w:r>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B672DD" w:rsidP="00BC053C">
            <w:pPr>
              <w:ind w:firstLineChars="100" w:firstLine="240"/>
              <w:rPr>
                <w:rFonts w:ascii="Arial" w:eastAsia="Times New Roman" w:hAnsi="Arial" w:cs="Arial"/>
                <w:color w:val="222222"/>
                <w:lang w:eastAsia="nl-NL"/>
              </w:rPr>
            </w:pPr>
            <w:r w:rsidRPr="000D6AD3">
              <w:rPr>
                <w:rFonts w:ascii="Arial" w:eastAsia="Times New Roman" w:hAnsi="Arial" w:cs="Arial"/>
                <w:color w:val="222222"/>
                <w:lang w:eastAsia="nl-NL"/>
              </w:rPr>
              <w:t>2. september 2002 (-20,25%)</w:t>
            </w:r>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B672DD" w:rsidP="00BC053C">
            <w:pPr>
              <w:ind w:firstLineChars="100" w:firstLine="240"/>
              <w:rPr>
                <w:rFonts w:ascii="Arial" w:eastAsia="Times New Roman" w:hAnsi="Arial" w:cs="Arial"/>
                <w:color w:val="222222"/>
                <w:lang w:eastAsia="nl-NL"/>
              </w:rPr>
            </w:pPr>
            <w:r w:rsidRPr="000D6AD3">
              <w:rPr>
                <w:rFonts w:ascii="Arial" w:eastAsia="Times New Roman" w:hAnsi="Arial" w:cs="Arial"/>
                <w:color w:val="222222"/>
                <w:lang w:eastAsia="nl-NL"/>
              </w:rPr>
              <w:t>3. september 2008 (-19,71%)</w:t>
            </w:r>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B672DD" w:rsidP="00BC053C">
            <w:pPr>
              <w:ind w:firstLineChars="100" w:firstLine="240"/>
              <w:rPr>
                <w:rFonts w:ascii="Arial" w:eastAsia="Times New Roman" w:hAnsi="Arial" w:cs="Arial"/>
                <w:color w:val="222222"/>
                <w:lang w:eastAsia="nl-NL"/>
              </w:rPr>
            </w:pPr>
            <w:r w:rsidRPr="000D6AD3">
              <w:rPr>
                <w:rFonts w:ascii="Arial" w:eastAsia="Times New Roman" w:hAnsi="Arial" w:cs="Arial"/>
                <w:color w:val="222222"/>
                <w:lang w:eastAsia="nl-NL"/>
              </w:rPr>
              <w:t>4. oktober 2008 (-19,23%)</w:t>
            </w:r>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B672DD" w:rsidP="00BC053C">
            <w:pPr>
              <w:ind w:firstLineChars="100" w:firstLine="240"/>
              <w:rPr>
                <w:rFonts w:ascii="Arial" w:eastAsia="Times New Roman" w:hAnsi="Arial" w:cs="Arial"/>
                <w:color w:val="222222"/>
                <w:lang w:eastAsia="nl-NL"/>
              </w:rPr>
            </w:pPr>
            <w:r w:rsidRPr="000D6AD3">
              <w:rPr>
                <w:rFonts w:ascii="Arial" w:eastAsia="Times New Roman" w:hAnsi="Arial" w:cs="Arial"/>
                <w:color w:val="222222"/>
                <w:lang w:eastAsia="nl-NL"/>
              </w:rPr>
              <w:t>5. november 1987 (-17,79%)</w:t>
            </w:r>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B672DD" w:rsidP="00BC053C">
            <w:pPr>
              <w:ind w:firstLineChars="100" w:firstLine="240"/>
              <w:rPr>
                <w:rFonts w:ascii="Arial" w:eastAsia="Times New Roman" w:hAnsi="Arial" w:cs="Arial"/>
                <w:color w:val="222222"/>
                <w:lang w:eastAsia="nl-NL"/>
              </w:rPr>
            </w:pPr>
            <w:r w:rsidRPr="000D6AD3">
              <w:rPr>
                <w:rFonts w:ascii="Arial" w:eastAsia="Times New Roman" w:hAnsi="Arial" w:cs="Arial"/>
                <w:color w:val="222222"/>
                <w:lang w:eastAsia="nl-NL"/>
              </w:rPr>
              <w:t>6. juli 2002 (-17,30%)</w:t>
            </w:r>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B672DD" w:rsidP="00BC053C">
            <w:pPr>
              <w:ind w:firstLineChars="100" w:firstLine="240"/>
              <w:rPr>
                <w:rFonts w:ascii="Arial" w:eastAsia="Times New Roman" w:hAnsi="Arial" w:cs="Arial"/>
                <w:color w:val="222222"/>
                <w:lang w:eastAsia="nl-NL"/>
              </w:rPr>
            </w:pPr>
            <w:r w:rsidRPr="000D6AD3">
              <w:rPr>
                <w:rFonts w:ascii="Arial" w:eastAsia="Times New Roman" w:hAnsi="Arial" w:cs="Arial"/>
                <w:color w:val="222222"/>
                <w:lang w:eastAsia="nl-NL"/>
              </w:rPr>
              <w:t>7. januari 2008 (-14,43%)</w:t>
            </w:r>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B672DD" w:rsidP="00BC053C">
            <w:pPr>
              <w:ind w:firstLineChars="100" w:firstLine="240"/>
              <w:rPr>
                <w:rFonts w:ascii="Arial" w:eastAsia="Times New Roman" w:hAnsi="Arial" w:cs="Arial"/>
                <w:color w:val="222222"/>
                <w:lang w:eastAsia="nl-NL"/>
              </w:rPr>
            </w:pPr>
            <w:r w:rsidRPr="000D6AD3">
              <w:rPr>
                <w:rFonts w:ascii="Arial" w:eastAsia="Times New Roman" w:hAnsi="Arial" w:cs="Arial"/>
                <w:color w:val="222222"/>
                <w:lang w:eastAsia="nl-NL"/>
              </w:rPr>
              <w:t>8. september 1998 (-14,03%)</w:t>
            </w:r>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B672DD" w:rsidP="00BC053C">
            <w:pPr>
              <w:ind w:firstLineChars="100" w:firstLine="240"/>
              <w:rPr>
                <w:rFonts w:ascii="Arial" w:eastAsia="Times New Roman" w:hAnsi="Arial" w:cs="Arial"/>
                <w:color w:val="222222"/>
                <w:lang w:eastAsia="nl-NL"/>
              </w:rPr>
            </w:pPr>
            <w:r w:rsidRPr="000D6AD3">
              <w:rPr>
                <w:rFonts w:ascii="Arial" w:eastAsia="Times New Roman" w:hAnsi="Arial" w:cs="Arial"/>
                <w:color w:val="222222"/>
                <w:lang w:eastAsia="nl-NL"/>
              </w:rPr>
              <w:t>9. september 2001 (-13,32%)</w:t>
            </w:r>
          </w:p>
        </w:tc>
      </w:tr>
      <w:tr w:rsidR="00B672DD" w:rsidRPr="000D6AD3" w:rsidTr="00BC053C">
        <w:trPr>
          <w:trHeight w:val="340"/>
        </w:trPr>
        <w:tc>
          <w:tcPr>
            <w:tcW w:w="5081" w:type="dxa"/>
            <w:tcBorders>
              <w:top w:val="nil"/>
              <w:left w:val="nil"/>
              <w:bottom w:val="nil"/>
              <w:right w:val="nil"/>
            </w:tcBorders>
            <w:shd w:val="clear" w:color="auto" w:fill="auto"/>
            <w:noWrap/>
            <w:vAlign w:val="bottom"/>
            <w:hideMark/>
          </w:tcPr>
          <w:p w:rsidR="00B672DD" w:rsidRPr="000D6AD3" w:rsidRDefault="00B672DD" w:rsidP="00BC053C">
            <w:pPr>
              <w:rPr>
                <w:rFonts w:ascii="Calibri" w:eastAsia="Times New Roman" w:hAnsi="Calibri" w:cs="Times New Roman"/>
                <w:color w:val="000000"/>
                <w:lang w:eastAsia="nl-NL"/>
              </w:rPr>
            </w:pPr>
            <w:r w:rsidRPr="000D6AD3">
              <w:rPr>
                <w:rFonts w:ascii="Calibri" w:eastAsia="Times New Roman" w:hAnsi="Calibri" w:cs="Times New Roman"/>
                <w:noProof/>
                <w:color w:val="000000"/>
                <w:lang w:eastAsia="nl-NL"/>
              </w:rPr>
              <w:drawing>
                <wp:anchor distT="0" distB="0" distL="114300" distR="114300" simplePos="0" relativeHeight="251663360" behindDoc="0" locked="0" layoutInCell="1" allowOverlap="1" wp14:anchorId="1E4D8B53" wp14:editId="1FE69FA2">
                  <wp:simplePos x="0" y="0"/>
                  <wp:positionH relativeFrom="column">
                    <wp:posOffset>0</wp:posOffset>
                  </wp:positionH>
                  <wp:positionV relativeFrom="paragraph">
                    <wp:posOffset>203200</wp:posOffset>
                  </wp:positionV>
                  <wp:extent cx="190500" cy="203200"/>
                  <wp:effectExtent l="0" t="0" r="0" b="0"/>
                  <wp:wrapNone/>
                  <wp:docPr id="7" name="Afbeelding 7" descr="Green Arrow Up.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Green Arrow Up.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2032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5060"/>
            </w:tblGrid>
            <w:tr w:rsidR="00B672DD" w:rsidRPr="000D6AD3" w:rsidTr="00BC053C">
              <w:trPr>
                <w:trHeight w:val="340"/>
                <w:tblCellSpacing w:w="0" w:type="dxa"/>
              </w:trPr>
              <w:tc>
                <w:tcPr>
                  <w:tcW w:w="5060" w:type="dxa"/>
                  <w:tcBorders>
                    <w:top w:val="nil"/>
                    <w:left w:val="nil"/>
                    <w:bottom w:val="nil"/>
                    <w:right w:val="nil"/>
                  </w:tcBorders>
                  <w:shd w:val="clear" w:color="auto" w:fill="auto"/>
                  <w:tcMar>
                    <w:top w:w="0" w:type="dxa"/>
                    <w:left w:w="135" w:type="dxa"/>
                    <w:bottom w:w="0" w:type="dxa"/>
                    <w:right w:w="0" w:type="dxa"/>
                  </w:tcMar>
                  <w:vAlign w:val="center"/>
                  <w:hideMark/>
                </w:tcPr>
                <w:p w:rsidR="00B672DD" w:rsidRPr="000D6AD3" w:rsidRDefault="00B672DD" w:rsidP="00BC053C">
                  <w:pPr>
                    <w:ind w:firstLineChars="100" w:firstLine="240"/>
                    <w:rPr>
                      <w:rFonts w:ascii="Arial" w:eastAsia="Times New Roman" w:hAnsi="Arial" w:cs="Arial"/>
                      <w:color w:val="222222"/>
                      <w:lang w:eastAsia="nl-NL"/>
                    </w:rPr>
                  </w:pPr>
                  <w:r w:rsidRPr="000D6AD3">
                    <w:rPr>
                      <w:rFonts w:ascii="Arial" w:eastAsia="Times New Roman" w:hAnsi="Arial" w:cs="Arial"/>
                      <w:color w:val="222222"/>
                      <w:lang w:eastAsia="nl-NL"/>
                    </w:rPr>
                    <w:t>10. augustus 1990 (-12,68%)</w:t>
                  </w:r>
                </w:p>
              </w:tc>
            </w:tr>
          </w:tbl>
          <w:p w:rsidR="00B672DD" w:rsidRPr="000D6AD3" w:rsidRDefault="00B672DD" w:rsidP="00BC053C">
            <w:pPr>
              <w:rPr>
                <w:rFonts w:ascii="Calibri" w:eastAsia="Times New Roman" w:hAnsi="Calibri" w:cs="Times New Roman"/>
                <w:color w:val="000000"/>
                <w:lang w:eastAsia="nl-NL"/>
              </w:rPr>
            </w:pPr>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695966" w:rsidP="00BC053C">
            <w:pPr>
              <w:rPr>
                <w:rFonts w:ascii="Calibri" w:eastAsia="Times New Roman" w:hAnsi="Calibri" w:cs="Times New Roman"/>
                <w:color w:val="0563C1"/>
                <w:u w:val="single"/>
                <w:lang w:eastAsia="nl-NL"/>
              </w:rPr>
            </w:pPr>
            <w:hyperlink r:id="rId10" w:history="1">
              <w:r w:rsidR="00B672DD" w:rsidRPr="000D6AD3">
                <w:rPr>
                  <w:rFonts w:ascii="Calibri" w:eastAsia="Times New Roman" w:hAnsi="Calibri" w:cs="Times New Roman"/>
                  <w:color w:val="0563C1"/>
                  <w:u w:val="single"/>
                  <w:lang w:eastAsia="nl-NL"/>
                </w:rPr>
                <w:t> Grootste winsten AEX per maand:</w:t>
              </w:r>
            </w:hyperlink>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B672DD" w:rsidP="00BC053C">
            <w:pPr>
              <w:ind w:firstLineChars="100" w:firstLine="240"/>
              <w:rPr>
                <w:rFonts w:ascii="Arial" w:eastAsia="Times New Roman" w:hAnsi="Arial" w:cs="Arial"/>
                <w:color w:val="222222"/>
                <w:lang w:eastAsia="nl-NL"/>
              </w:rPr>
            </w:pPr>
            <w:r w:rsidRPr="000D6AD3">
              <w:rPr>
                <w:rFonts w:ascii="Arial" w:eastAsia="Times New Roman" w:hAnsi="Arial" w:cs="Arial"/>
                <w:color w:val="222222"/>
                <w:lang w:eastAsia="nl-NL"/>
              </w:rPr>
              <w:t>1. maart 1983 (17,52%)</w:t>
            </w:r>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B672DD" w:rsidP="00BC053C">
            <w:pPr>
              <w:ind w:firstLineChars="100" w:firstLine="240"/>
              <w:rPr>
                <w:rFonts w:ascii="Arial" w:eastAsia="Times New Roman" w:hAnsi="Arial" w:cs="Arial"/>
                <w:color w:val="222222"/>
                <w:lang w:eastAsia="nl-NL"/>
              </w:rPr>
            </w:pPr>
            <w:r w:rsidRPr="000D6AD3">
              <w:rPr>
                <w:rFonts w:ascii="Arial" w:eastAsia="Times New Roman" w:hAnsi="Arial" w:cs="Arial"/>
                <w:color w:val="222222"/>
                <w:lang w:eastAsia="nl-NL"/>
              </w:rPr>
              <w:t>2. januari 1984 (17,28%)</w:t>
            </w:r>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B672DD" w:rsidP="00BC053C">
            <w:pPr>
              <w:ind w:firstLineChars="100" w:firstLine="240"/>
              <w:rPr>
                <w:rFonts w:ascii="Arial" w:eastAsia="Times New Roman" w:hAnsi="Arial" w:cs="Arial"/>
                <w:color w:val="222222"/>
                <w:lang w:eastAsia="nl-NL"/>
              </w:rPr>
            </w:pPr>
            <w:r w:rsidRPr="000D6AD3">
              <w:rPr>
                <w:rFonts w:ascii="Arial" w:eastAsia="Times New Roman" w:hAnsi="Arial" w:cs="Arial"/>
                <w:color w:val="222222"/>
                <w:lang w:eastAsia="nl-NL"/>
              </w:rPr>
              <w:t>3. oktober 2002 (15,68%)</w:t>
            </w:r>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695966" w:rsidP="00BC053C">
            <w:pPr>
              <w:ind w:firstLineChars="100" w:firstLine="240"/>
              <w:rPr>
                <w:rFonts w:ascii="Calibri" w:eastAsia="Times New Roman" w:hAnsi="Calibri" w:cs="Times New Roman"/>
                <w:color w:val="0563C1"/>
                <w:u w:val="single"/>
                <w:lang w:eastAsia="nl-NL"/>
              </w:rPr>
            </w:pPr>
            <w:hyperlink r:id="rId11" w:tooltip="Campinghausse" w:history="1">
              <w:r w:rsidR="00B672DD" w:rsidRPr="000D6AD3">
                <w:rPr>
                  <w:rFonts w:ascii="Calibri" w:eastAsia="Times New Roman" w:hAnsi="Calibri" w:cs="Times New Roman"/>
                  <w:color w:val="0563C1"/>
                  <w:u w:val="single"/>
                  <w:lang w:eastAsia="nl-NL"/>
                </w:rPr>
                <w:t>4. juli 1997 (14,14%; de campinghausse)</w:t>
              </w:r>
            </w:hyperlink>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B672DD" w:rsidP="00BC053C">
            <w:pPr>
              <w:ind w:firstLineChars="100" w:firstLine="240"/>
              <w:rPr>
                <w:rFonts w:ascii="Arial" w:eastAsia="Times New Roman" w:hAnsi="Arial" w:cs="Arial"/>
                <w:color w:val="222222"/>
                <w:lang w:eastAsia="nl-NL"/>
              </w:rPr>
            </w:pPr>
            <w:r w:rsidRPr="000D6AD3">
              <w:rPr>
                <w:rFonts w:ascii="Arial" w:eastAsia="Times New Roman" w:hAnsi="Arial" w:cs="Arial"/>
                <w:color w:val="222222"/>
                <w:lang w:eastAsia="nl-NL"/>
              </w:rPr>
              <w:t>5. april 2003 (13,72%)</w:t>
            </w:r>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B672DD" w:rsidP="00BC053C">
            <w:pPr>
              <w:ind w:firstLineChars="100" w:firstLine="240"/>
              <w:rPr>
                <w:rFonts w:ascii="Arial" w:eastAsia="Times New Roman" w:hAnsi="Arial" w:cs="Arial"/>
                <w:color w:val="222222"/>
                <w:lang w:eastAsia="nl-NL"/>
              </w:rPr>
            </w:pPr>
            <w:r w:rsidRPr="000D6AD3">
              <w:rPr>
                <w:rFonts w:ascii="Arial" w:eastAsia="Times New Roman" w:hAnsi="Arial" w:cs="Arial"/>
                <w:color w:val="222222"/>
                <w:lang w:eastAsia="nl-NL"/>
              </w:rPr>
              <w:t>6. februari 1998 (11,88%)</w:t>
            </w:r>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B672DD" w:rsidP="00BC053C">
            <w:pPr>
              <w:ind w:firstLineChars="100" w:firstLine="240"/>
              <w:rPr>
                <w:rFonts w:ascii="Arial" w:eastAsia="Times New Roman" w:hAnsi="Arial" w:cs="Arial"/>
                <w:color w:val="222222"/>
                <w:lang w:eastAsia="nl-NL"/>
              </w:rPr>
            </w:pPr>
            <w:r w:rsidRPr="000D6AD3">
              <w:rPr>
                <w:rFonts w:ascii="Arial" w:eastAsia="Times New Roman" w:hAnsi="Arial" w:cs="Arial"/>
                <w:color w:val="222222"/>
                <w:lang w:eastAsia="nl-NL"/>
              </w:rPr>
              <w:t>7. juni 1983 (11,83%)</w:t>
            </w:r>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B672DD" w:rsidP="00BC053C">
            <w:pPr>
              <w:ind w:firstLineChars="100" w:firstLine="240"/>
              <w:rPr>
                <w:rFonts w:ascii="Arial" w:eastAsia="Times New Roman" w:hAnsi="Arial" w:cs="Arial"/>
                <w:color w:val="222222"/>
                <w:lang w:eastAsia="nl-NL"/>
              </w:rPr>
            </w:pPr>
            <w:r w:rsidRPr="000D6AD3">
              <w:rPr>
                <w:rFonts w:ascii="Arial" w:eastAsia="Times New Roman" w:hAnsi="Arial" w:cs="Arial"/>
                <w:color w:val="222222"/>
                <w:lang w:eastAsia="nl-NL"/>
              </w:rPr>
              <w:t>8. juni 1988 (11,77%)</w:t>
            </w:r>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B672DD" w:rsidP="00BC053C">
            <w:pPr>
              <w:ind w:firstLineChars="100" w:firstLine="240"/>
              <w:rPr>
                <w:rFonts w:ascii="Arial" w:eastAsia="Times New Roman" w:hAnsi="Arial" w:cs="Arial"/>
                <w:color w:val="222222"/>
                <w:lang w:eastAsia="nl-NL"/>
              </w:rPr>
            </w:pPr>
            <w:r w:rsidRPr="000D6AD3">
              <w:rPr>
                <w:rFonts w:ascii="Arial" w:eastAsia="Times New Roman" w:hAnsi="Arial" w:cs="Arial"/>
                <w:color w:val="222222"/>
                <w:lang w:eastAsia="nl-NL"/>
              </w:rPr>
              <w:t>9. december 1999 (11,51%)</w:t>
            </w:r>
          </w:p>
        </w:tc>
      </w:tr>
      <w:tr w:rsidR="00B672DD" w:rsidRPr="000D6AD3" w:rsidTr="00BC053C">
        <w:trPr>
          <w:trHeight w:val="340"/>
        </w:trPr>
        <w:tc>
          <w:tcPr>
            <w:tcW w:w="5081" w:type="dxa"/>
            <w:tcBorders>
              <w:top w:val="nil"/>
              <w:left w:val="nil"/>
              <w:bottom w:val="nil"/>
              <w:right w:val="nil"/>
            </w:tcBorders>
            <w:shd w:val="clear" w:color="auto" w:fill="auto"/>
            <w:vAlign w:val="center"/>
            <w:hideMark/>
          </w:tcPr>
          <w:p w:rsidR="00B672DD" w:rsidRPr="000D6AD3" w:rsidRDefault="00B672DD" w:rsidP="00BC053C">
            <w:pPr>
              <w:ind w:firstLineChars="100" w:firstLine="240"/>
              <w:rPr>
                <w:rFonts w:ascii="Arial" w:eastAsia="Times New Roman" w:hAnsi="Arial" w:cs="Arial"/>
                <w:color w:val="222222"/>
                <w:lang w:eastAsia="nl-NL"/>
              </w:rPr>
            </w:pPr>
            <w:r w:rsidRPr="000D6AD3">
              <w:rPr>
                <w:rFonts w:ascii="Arial" w:eastAsia="Times New Roman" w:hAnsi="Arial" w:cs="Arial"/>
                <w:color w:val="222222"/>
                <w:lang w:eastAsia="nl-NL"/>
              </w:rPr>
              <w:t>10. augustus 1984 (11,30%)</w:t>
            </w:r>
          </w:p>
        </w:tc>
      </w:tr>
    </w:tbl>
    <w:p w:rsidR="00B672DD" w:rsidRDefault="00B672DD" w:rsidP="00B93016"/>
    <w:sectPr w:rsidR="00B672DD" w:rsidSect="000D6AD3">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35"/>
    <w:rsid w:val="00062080"/>
    <w:rsid w:val="00063B9D"/>
    <w:rsid w:val="000B0754"/>
    <w:rsid w:val="000C43DF"/>
    <w:rsid w:val="000D6AD3"/>
    <w:rsid w:val="0011233D"/>
    <w:rsid w:val="001472B1"/>
    <w:rsid w:val="00167B8E"/>
    <w:rsid w:val="001C6795"/>
    <w:rsid w:val="00200918"/>
    <w:rsid w:val="002B4E35"/>
    <w:rsid w:val="0033569E"/>
    <w:rsid w:val="00455F18"/>
    <w:rsid w:val="004618F4"/>
    <w:rsid w:val="004936B1"/>
    <w:rsid w:val="004A48FB"/>
    <w:rsid w:val="004A4D72"/>
    <w:rsid w:val="004B4AA7"/>
    <w:rsid w:val="005441B5"/>
    <w:rsid w:val="00566335"/>
    <w:rsid w:val="005D18A0"/>
    <w:rsid w:val="00695966"/>
    <w:rsid w:val="0071372E"/>
    <w:rsid w:val="00777570"/>
    <w:rsid w:val="007870CE"/>
    <w:rsid w:val="007918CA"/>
    <w:rsid w:val="00822A8E"/>
    <w:rsid w:val="00856818"/>
    <w:rsid w:val="00877FBC"/>
    <w:rsid w:val="00970769"/>
    <w:rsid w:val="0097754D"/>
    <w:rsid w:val="009C0CD4"/>
    <w:rsid w:val="00A00E81"/>
    <w:rsid w:val="00A6593B"/>
    <w:rsid w:val="00B57F48"/>
    <w:rsid w:val="00B672DD"/>
    <w:rsid w:val="00B92FB3"/>
    <w:rsid w:val="00B93016"/>
    <w:rsid w:val="00BA7CD1"/>
    <w:rsid w:val="00CC366E"/>
    <w:rsid w:val="00E9332B"/>
    <w:rsid w:val="00F764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261A"/>
  <w15:chartTrackingRefBased/>
  <w15:docId w15:val="{102CDA34-C9B2-0841-B94A-DE47A4A7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9C0CD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66335"/>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566335"/>
    <w:rPr>
      <w:b/>
      <w:bCs/>
    </w:rPr>
  </w:style>
  <w:style w:type="table" w:styleId="Tabelraster">
    <w:name w:val="Table Grid"/>
    <w:basedOn w:val="Standaardtabel"/>
    <w:uiPriority w:val="39"/>
    <w:rsid w:val="00787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0D6AD3"/>
    <w:rPr>
      <w:color w:val="0563C1"/>
      <w:u w:val="single"/>
    </w:rPr>
  </w:style>
  <w:style w:type="character" w:customStyle="1" w:styleId="Kop2Char">
    <w:name w:val="Kop 2 Char"/>
    <w:basedOn w:val="Standaardalinea-lettertype"/>
    <w:link w:val="Kop2"/>
    <w:uiPriority w:val="9"/>
    <w:rsid w:val="009C0CD4"/>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970769"/>
    <w:rPr>
      <w:sz w:val="16"/>
      <w:szCs w:val="16"/>
    </w:rPr>
  </w:style>
  <w:style w:type="paragraph" w:styleId="Tekstopmerking">
    <w:name w:val="annotation text"/>
    <w:basedOn w:val="Standaard"/>
    <w:link w:val="TekstopmerkingChar"/>
    <w:uiPriority w:val="99"/>
    <w:semiHidden/>
    <w:unhideWhenUsed/>
    <w:rsid w:val="00970769"/>
    <w:rPr>
      <w:sz w:val="20"/>
      <w:szCs w:val="20"/>
    </w:rPr>
  </w:style>
  <w:style w:type="character" w:customStyle="1" w:styleId="TekstopmerkingChar">
    <w:name w:val="Tekst opmerking Char"/>
    <w:basedOn w:val="Standaardalinea-lettertype"/>
    <w:link w:val="Tekstopmerking"/>
    <w:uiPriority w:val="99"/>
    <w:semiHidden/>
    <w:rsid w:val="00970769"/>
    <w:rPr>
      <w:sz w:val="20"/>
      <w:szCs w:val="20"/>
    </w:rPr>
  </w:style>
  <w:style w:type="paragraph" w:styleId="Onderwerpvanopmerking">
    <w:name w:val="annotation subject"/>
    <w:basedOn w:val="Tekstopmerking"/>
    <w:next w:val="Tekstopmerking"/>
    <w:link w:val="OnderwerpvanopmerkingChar"/>
    <w:uiPriority w:val="99"/>
    <w:semiHidden/>
    <w:unhideWhenUsed/>
    <w:rsid w:val="00970769"/>
    <w:rPr>
      <w:b/>
      <w:bCs/>
    </w:rPr>
  </w:style>
  <w:style w:type="character" w:customStyle="1" w:styleId="OnderwerpvanopmerkingChar">
    <w:name w:val="Onderwerp van opmerking Char"/>
    <w:basedOn w:val="TekstopmerkingChar"/>
    <w:link w:val="Onderwerpvanopmerking"/>
    <w:uiPriority w:val="99"/>
    <w:semiHidden/>
    <w:rsid w:val="00970769"/>
    <w:rPr>
      <w:b/>
      <w:bCs/>
      <w:sz w:val="20"/>
      <w:szCs w:val="20"/>
    </w:rPr>
  </w:style>
  <w:style w:type="paragraph" w:styleId="Ballontekst">
    <w:name w:val="Balloon Text"/>
    <w:basedOn w:val="Standaard"/>
    <w:link w:val="BallontekstChar"/>
    <w:uiPriority w:val="99"/>
    <w:semiHidden/>
    <w:unhideWhenUsed/>
    <w:rsid w:val="0097076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07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1887">
      <w:bodyDiv w:val="1"/>
      <w:marLeft w:val="0"/>
      <w:marRight w:val="0"/>
      <w:marTop w:val="0"/>
      <w:marBottom w:val="0"/>
      <w:divBdr>
        <w:top w:val="none" w:sz="0" w:space="0" w:color="auto"/>
        <w:left w:val="none" w:sz="0" w:space="0" w:color="auto"/>
        <w:bottom w:val="none" w:sz="0" w:space="0" w:color="auto"/>
        <w:right w:val="none" w:sz="0" w:space="0" w:color="auto"/>
      </w:divBdr>
    </w:div>
    <w:div w:id="267278411">
      <w:bodyDiv w:val="1"/>
      <w:marLeft w:val="0"/>
      <w:marRight w:val="0"/>
      <w:marTop w:val="0"/>
      <w:marBottom w:val="0"/>
      <w:divBdr>
        <w:top w:val="none" w:sz="0" w:space="0" w:color="auto"/>
        <w:left w:val="none" w:sz="0" w:space="0" w:color="auto"/>
        <w:bottom w:val="none" w:sz="0" w:space="0" w:color="auto"/>
        <w:right w:val="none" w:sz="0" w:space="0" w:color="auto"/>
      </w:divBdr>
    </w:div>
    <w:div w:id="853346140">
      <w:bodyDiv w:val="1"/>
      <w:marLeft w:val="0"/>
      <w:marRight w:val="0"/>
      <w:marTop w:val="0"/>
      <w:marBottom w:val="0"/>
      <w:divBdr>
        <w:top w:val="none" w:sz="0" w:space="0" w:color="auto"/>
        <w:left w:val="none" w:sz="0" w:space="0" w:color="auto"/>
        <w:bottom w:val="none" w:sz="0" w:space="0" w:color="auto"/>
        <w:right w:val="none" w:sz="0" w:space="0" w:color="auto"/>
      </w:divBdr>
    </w:div>
    <w:div w:id="1419906871">
      <w:bodyDiv w:val="1"/>
      <w:marLeft w:val="0"/>
      <w:marRight w:val="0"/>
      <w:marTop w:val="0"/>
      <w:marBottom w:val="0"/>
      <w:divBdr>
        <w:top w:val="none" w:sz="0" w:space="0" w:color="auto"/>
        <w:left w:val="none" w:sz="0" w:space="0" w:color="auto"/>
        <w:bottom w:val="none" w:sz="0" w:space="0" w:color="auto"/>
        <w:right w:val="none" w:sz="0" w:space="0" w:color="auto"/>
      </w:divBdr>
    </w:div>
    <w:div w:id="1807745657">
      <w:bodyDiv w:val="1"/>
      <w:marLeft w:val="0"/>
      <w:marRight w:val="0"/>
      <w:marTop w:val="0"/>
      <w:marBottom w:val="0"/>
      <w:divBdr>
        <w:top w:val="none" w:sz="0" w:space="0" w:color="auto"/>
        <w:left w:val="none" w:sz="0" w:space="0" w:color="auto"/>
        <w:bottom w:val="none" w:sz="0" w:space="0" w:color="auto"/>
        <w:right w:val="none" w:sz="0" w:space="0" w:color="auto"/>
      </w:divBdr>
    </w:div>
    <w:div w:id="2004965500">
      <w:bodyDiv w:val="1"/>
      <w:marLeft w:val="0"/>
      <w:marRight w:val="0"/>
      <w:marTop w:val="0"/>
      <w:marBottom w:val="0"/>
      <w:divBdr>
        <w:top w:val="none" w:sz="0" w:space="0" w:color="auto"/>
        <w:left w:val="none" w:sz="0" w:space="0" w:color="auto"/>
        <w:bottom w:val="none" w:sz="0" w:space="0" w:color="auto"/>
        <w:right w:val="none" w:sz="0" w:space="0" w:color="auto"/>
      </w:divBdr>
    </w:div>
    <w:div w:id="208341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Green_Arrow_Up.sv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ommons.wikimedia.org/wiki/File:Red_Arrow_Down.sv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nl.wikipedia.org/wiki/Campinghausse" TargetMode="External"/><Relationship Id="rId5" Type="http://schemas.openxmlformats.org/officeDocument/2006/relationships/hyperlink" Target="https://commons.wikimedia.org/wiki/File:Red_Arrow_Down.svg" TargetMode="External"/><Relationship Id="rId10" Type="http://schemas.openxmlformats.org/officeDocument/2006/relationships/hyperlink" Target="https://commons.wikimedia.org/wiki/File:Green_Arrow_Up.svg" TargetMode="External"/><Relationship Id="rId4" Type="http://schemas.openxmlformats.org/officeDocument/2006/relationships/chart" Target="charts/chart1.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Hans\Documents\Spanje\BARC\BARC%20Optie%20transacties%20voorst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r>
              <a:rPr lang="nl-NL" sz="1800" b="1"/>
              <a:t>AEX een maand plus 17,6 % en minus 20,30 %</a:t>
            </a:r>
          </a:p>
        </c:rich>
      </c:tx>
      <c:overlay val="0"/>
      <c:spPr>
        <a:noFill/>
        <a:ln>
          <a:noFill/>
        </a:ln>
        <a:effectLst/>
      </c:spPr>
      <c:txPr>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spPr>
            <a:ln w="28575" cap="rnd">
              <a:solidFill>
                <a:schemeClr val="accent1"/>
              </a:solidFill>
              <a:round/>
            </a:ln>
            <a:effectLst/>
          </c:spPr>
          <c:marker>
            <c:symbol val="none"/>
          </c:marker>
          <c:cat>
            <c:numRef>
              <c:f>Blad1!$A$74:$A$98</c:f>
              <c:numCache>
                <c:formatCode>m/d/yy</c:formatCode>
                <c:ptCount val="25"/>
                <c:pt idx="0">
                  <c:v>43514</c:v>
                </c:pt>
                <c:pt idx="1">
                  <c:v>43515</c:v>
                </c:pt>
                <c:pt idx="2">
                  <c:v>43516</c:v>
                </c:pt>
                <c:pt idx="3">
                  <c:v>43517</c:v>
                </c:pt>
                <c:pt idx="4">
                  <c:v>43518</c:v>
                </c:pt>
                <c:pt idx="5">
                  <c:v>43521</c:v>
                </c:pt>
                <c:pt idx="6">
                  <c:v>43522</c:v>
                </c:pt>
                <c:pt idx="7">
                  <c:v>43523</c:v>
                </c:pt>
                <c:pt idx="8">
                  <c:v>43524</c:v>
                </c:pt>
                <c:pt idx="9">
                  <c:v>43525</c:v>
                </c:pt>
                <c:pt idx="10">
                  <c:v>43528</c:v>
                </c:pt>
                <c:pt idx="11">
                  <c:v>43529</c:v>
                </c:pt>
                <c:pt idx="12">
                  <c:v>43530</c:v>
                </c:pt>
                <c:pt idx="13">
                  <c:v>43531</c:v>
                </c:pt>
                <c:pt idx="14">
                  <c:v>43532</c:v>
                </c:pt>
                <c:pt idx="15">
                  <c:v>43535</c:v>
                </c:pt>
                <c:pt idx="16">
                  <c:v>43536</c:v>
                </c:pt>
                <c:pt idx="17">
                  <c:v>43537</c:v>
                </c:pt>
                <c:pt idx="18">
                  <c:v>43538</c:v>
                </c:pt>
                <c:pt idx="19">
                  <c:v>43539</c:v>
                </c:pt>
                <c:pt idx="20">
                  <c:v>43542</c:v>
                </c:pt>
                <c:pt idx="21">
                  <c:v>43543</c:v>
                </c:pt>
                <c:pt idx="22">
                  <c:v>43544</c:v>
                </c:pt>
                <c:pt idx="23">
                  <c:v>43545</c:v>
                </c:pt>
                <c:pt idx="24">
                  <c:v>43546</c:v>
                </c:pt>
              </c:numCache>
            </c:numRef>
          </c:cat>
          <c:val>
            <c:numRef>
              <c:f>Blad1!$B$74:$B$98</c:f>
              <c:numCache>
                <c:formatCode>0.00</c:formatCode>
                <c:ptCount val="25"/>
                <c:pt idx="0">
                  <c:v>539.63</c:v>
                </c:pt>
                <c:pt idx="1">
                  <c:v>538.07000000000005</c:v>
                </c:pt>
                <c:pt idx="2">
                  <c:v>540.03</c:v>
                </c:pt>
                <c:pt idx="3">
                  <c:v>540.57000000000005</c:v>
                </c:pt>
                <c:pt idx="4">
                  <c:v>540</c:v>
                </c:pt>
                <c:pt idx="5">
                  <c:v>542</c:v>
                </c:pt>
                <c:pt idx="6">
                  <c:v>552</c:v>
                </c:pt>
                <c:pt idx="7">
                  <c:v>562</c:v>
                </c:pt>
                <c:pt idx="8">
                  <c:v>582</c:v>
                </c:pt>
                <c:pt idx="9">
                  <c:v>590</c:v>
                </c:pt>
                <c:pt idx="10">
                  <c:v>610</c:v>
                </c:pt>
                <c:pt idx="11">
                  <c:v>615</c:v>
                </c:pt>
                <c:pt idx="12">
                  <c:v>617</c:v>
                </c:pt>
                <c:pt idx="13">
                  <c:v>619</c:v>
                </c:pt>
                <c:pt idx="14">
                  <c:v>623</c:v>
                </c:pt>
                <c:pt idx="15">
                  <c:v>626</c:v>
                </c:pt>
                <c:pt idx="16">
                  <c:v>627</c:v>
                </c:pt>
                <c:pt idx="17">
                  <c:v>628</c:v>
                </c:pt>
                <c:pt idx="18">
                  <c:v>629</c:v>
                </c:pt>
                <c:pt idx="19">
                  <c:v>630</c:v>
                </c:pt>
                <c:pt idx="20">
                  <c:v>631</c:v>
                </c:pt>
                <c:pt idx="21">
                  <c:v>632</c:v>
                </c:pt>
                <c:pt idx="22">
                  <c:v>633</c:v>
                </c:pt>
                <c:pt idx="23">
                  <c:v>634</c:v>
                </c:pt>
                <c:pt idx="24">
                  <c:v>635</c:v>
                </c:pt>
              </c:numCache>
            </c:numRef>
          </c:val>
          <c:smooth val="0"/>
          <c:extLst>
            <c:ext xmlns:c16="http://schemas.microsoft.com/office/drawing/2014/chart" uri="{C3380CC4-5D6E-409C-BE32-E72D297353CC}">
              <c16:uniqueId val="{00000000-3DD5-5348-B6D0-DC356352D27B}"/>
            </c:ext>
          </c:extLst>
        </c:ser>
        <c:ser>
          <c:idx val="1"/>
          <c:order val="1"/>
          <c:spPr>
            <a:ln w="28575" cap="rnd">
              <a:solidFill>
                <a:schemeClr val="accent2"/>
              </a:solidFill>
              <a:round/>
            </a:ln>
            <a:effectLst/>
          </c:spPr>
          <c:marker>
            <c:symbol val="none"/>
          </c:marker>
          <c:cat>
            <c:numRef>
              <c:f>Blad1!$A$74:$A$98</c:f>
              <c:numCache>
                <c:formatCode>m/d/yy</c:formatCode>
                <c:ptCount val="25"/>
                <c:pt idx="0">
                  <c:v>43514</c:v>
                </c:pt>
                <c:pt idx="1">
                  <c:v>43515</c:v>
                </c:pt>
                <c:pt idx="2">
                  <c:v>43516</c:v>
                </c:pt>
                <c:pt idx="3">
                  <c:v>43517</c:v>
                </c:pt>
                <c:pt idx="4">
                  <c:v>43518</c:v>
                </c:pt>
                <c:pt idx="5">
                  <c:v>43521</c:v>
                </c:pt>
                <c:pt idx="6">
                  <c:v>43522</c:v>
                </c:pt>
                <c:pt idx="7">
                  <c:v>43523</c:v>
                </c:pt>
                <c:pt idx="8">
                  <c:v>43524</c:v>
                </c:pt>
                <c:pt idx="9">
                  <c:v>43525</c:v>
                </c:pt>
                <c:pt idx="10">
                  <c:v>43528</c:v>
                </c:pt>
                <c:pt idx="11">
                  <c:v>43529</c:v>
                </c:pt>
                <c:pt idx="12">
                  <c:v>43530</c:v>
                </c:pt>
                <c:pt idx="13">
                  <c:v>43531</c:v>
                </c:pt>
                <c:pt idx="14">
                  <c:v>43532</c:v>
                </c:pt>
                <c:pt idx="15">
                  <c:v>43535</c:v>
                </c:pt>
                <c:pt idx="16">
                  <c:v>43536</c:v>
                </c:pt>
                <c:pt idx="17">
                  <c:v>43537</c:v>
                </c:pt>
                <c:pt idx="18">
                  <c:v>43538</c:v>
                </c:pt>
                <c:pt idx="19">
                  <c:v>43539</c:v>
                </c:pt>
                <c:pt idx="20">
                  <c:v>43542</c:v>
                </c:pt>
                <c:pt idx="21">
                  <c:v>43543</c:v>
                </c:pt>
                <c:pt idx="22">
                  <c:v>43544</c:v>
                </c:pt>
                <c:pt idx="23">
                  <c:v>43545</c:v>
                </c:pt>
                <c:pt idx="24">
                  <c:v>43546</c:v>
                </c:pt>
              </c:numCache>
            </c:numRef>
          </c:cat>
          <c:val>
            <c:numRef>
              <c:f>Blad1!$C$74:$C$98</c:f>
              <c:numCache>
                <c:formatCode>General</c:formatCode>
                <c:ptCount val="25"/>
              </c:numCache>
            </c:numRef>
          </c:val>
          <c:smooth val="0"/>
          <c:extLst>
            <c:ext xmlns:c16="http://schemas.microsoft.com/office/drawing/2014/chart" uri="{C3380CC4-5D6E-409C-BE32-E72D297353CC}">
              <c16:uniqueId val="{00000001-3DD5-5348-B6D0-DC356352D27B}"/>
            </c:ext>
          </c:extLst>
        </c:ser>
        <c:ser>
          <c:idx val="2"/>
          <c:order val="2"/>
          <c:spPr>
            <a:ln w="28575" cap="rnd">
              <a:solidFill>
                <a:schemeClr val="accent3"/>
              </a:solidFill>
              <a:round/>
            </a:ln>
            <a:effectLst/>
          </c:spPr>
          <c:marker>
            <c:symbol val="none"/>
          </c:marker>
          <c:cat>
            <c:numRef>
              <c:f>Blad1!$A$74:$A$98</c:f>
              <c:numCache>
                <c:formatCode>m/d/yy</c:formatCode>
                <c:ptCount val="25"/>
                <c:pt idx="0">
                  <c:v>43514</c:v>
                </c:pt>
                <c:pt idx="1">
                  <c:v>43515</c:v>
                </c:pt>
                <c:pt idx="2">
                  <c:v>43516</c:v>
                </c:pt>
                <c:pt idx="3">
                  <c:v>43517</c:v>
                </c:pt>
                <c:pt idx="4">
                  <c:v>43518</c:v>
                </c:pt>
                <c:pt idx="5">
                  <c:v>43521</c:v>
                </c:pt>
                <c:pt idx="6">
                  <c:v>43522</c:v>
                </c:pt>
                <c:pt idx="7">
                  <c:v>43523</c:v>
                </c:pt>
                <c:pt idx="8">
                  <c:v>43524</c:v>
                </c:pt>
                <c:pt idx="9">
                  <c:v>43525</c:v>
                </c:pt>
                <c:pt idx="10">
                  <c:v>43528</c:v>
                </c:pt>
                <c:pt idx="11">
                  <c:v>43529</c:v>
                </c:pt>
                <c:pt idx="12">
                  <c:v>43530</c:v>
                </c:pt>
                <c:pt idx="13">
                  <c:v>43531</c:v>
                </c:pt>
                <c:pt idx="14">
                  <c:v>43532</c:v>
                </c:pt>
                <c:pt idx="15">
                  <c:v>43535</c:v>
                </c:pt>
                <c:pt idx="16">
                  <c:v>43536</c:v>
                </c:pt>
                <c:pt idx="17">
                  <c:v>43537</c:v>
                </c:pt>
                <c:pt idx="18">
                  <c:v>43538</c:v>
                </c:pt>
                <c:pt idx="19">
                  <c:v>43539</c:v>
                </c:pt>
                <c:pt idx="20">
                  <c:v>43542</c:v>
                </c:pt>
                <c:pt idx="21">
                  <c:v>43543</c:v>
                </c:pt>
                <c:pt idx="22">
                  <c:v>43544</c:v>
                </c:pt>
                <c:pt idx="23">
                  <c:v>43545</c:v>
                </c:pt>
                <c:pt idx="24">
                  <c:v>43546</c:v>
                </c:pt>
              </c:numCache>
            </c:numRef>
          </c:cat>
          <c:val>
            <c:numRef>
              <c:f>Blad1!$D$74:$D$98</c:f>
              <c:numCache>
                <c:formatCode>General</c:formatCode>
                <c:ptCount val="25"/>
                <c:pt idx="5" formatCode="0.00">
                  <c:v>540</c:v>
                </c:pt>
                <c:pt idx="6" formatCode="0.00">
                  <c:v>540</c:v>
                </c:pt>
                <c:pt idx="7" formatCode="0.00">
                  <c:v>540</c:v>
                </c:pt>
                <c:pt idx="8" formatCode="0.00">
                  <c:v>540</c:v>
                </c:pt>
                <c:pt idx="9" formatCode="0.00">
                  <c:v>540</c:v>
                </c:pt>
                <c:pt idx="10" formatCode="0.00">
                  <c:v>540</c:v>
                </c:pt>
                <c:pt idx="11" formatCode="0.00">
                  <c:v>540</c:v>
                </c:pt>
                <c:pt idx="12" formatCode="0.00">
                  <c:v>540</c:v>
                </c:pt>
                <c:pt idx="13" formatCode="0.00">
                  <c:v>540</c:v>
                </c:pt>
                <c:pt idx="14" formatCode="0.00">
                  <c:v>540</c:v>
                </c:pt>
                <c:pt idx="15" formatCode="0.00">
                  <c:v>540</c:v>
                </c:pt>
                <c:pt idx="16" formatCode="0.00">
                  <c:v>540</c:v>
                </c:pt>
                <c:pt idx="17" formatCode="0.00">
                  <c:v>540</c:v>
                </c:pt>
                <c:pt idx="18" formatCode="0.00">
                  <c:v>540</c:v>
                </c:pt>
                <c:pt idx="19" formatCode="0.00">
                  <c:v>540</c:v>
                </c:pt>
                <c:pt idx="20" formatCode="0.00">
                  <c:v>540</c:v>
                </c:pt>
                <c:pt idx="21" formatCode="0.00">
                  <c:v>540</c:v>
                </c:pt>
                <c:pt idx="22" formatCode="0.00">
                  <c:v>540</c:v>
                </c:pt>
                <c:pt idx="23" formatCode="0.00">
                  <c:v>540</c:v>
                </c:pt>
                <c:pt idx="24" formatCode="0.00">
                  <c:v>540</c:v>
                </c:pt>
              </c:numCache>
            </c:numRef>
          </c:val>
          <c:smooth val="0"/>
          <c:extLst>
            <c:ext xmlns:c16="http://schemas.microsoft.com/office/drawing/2014/chart" uri="{C3380CC4-5D6E-409C-BE32-E72D297353CC}">
              <c16:uniqueId val="{00000002-3DD5-5348-B6D0-DC356352D27B}"/>
            </c:ext>
          </c:extLst>
        </c:ser>
        <c:ser>
          <c:idx val="3"/>
          <c:order val="3"/>
          <c:spPr>
            <a:ln w="28575" cap="rnd">
              <a:solidFill>
                <a:schemeClr val="accent4"/>
              </a:solidFill>
              <a:round/>
            </a:ln>
            <a:effectLst/>
          </c:spPr>
          <c:marker>
            <c:symbol val="none"/>
          </c:marker>
          <c:cat>
            <c:numRef>
              <c:f>Blad1!$A$74:$A$98</c:f>
              <c:numCache>
                <c:formatCode>m/d/yy</c:formatCode>
                <c:ptCount val="25"/>
                <c:pt idx="0">
                  <c:v>43514</c:v>
                </c:pt>
                <c:pt idx="1">
                  <c:v>43515</c:v>
                </c:pt>
                <c:pt idx="2">
                  <c:v>43516</c:v>
                </c:pt>
                <c:pt idx="3">
                  <c:v>43517</c:v>
                </c:pt>
                <c:pt idx="4">
                  <c:v>43518</c:v>
                </c:pt>
                <c:pt idx="5">
                  <c:v>43521</c:v>
                </c:pt>
                <c:pt idx="6">
                  <c:v>43522</c:v>
                </c:pt>
                <c:pt idx="7">
                  <c:v>43523</c:v>
                </c:pt>
                <c:pt idx="8">
                  <c:v>43524</c:v>
                </c:pt>
                <c:pt idx="9">
                  <c:v>43525</c:v>
                </c:pt>
                <c:pt idx="10">
                  <c:v>43528</c:v>
                </c:pt>
                <c:pt idx="11">
                  <c:v>43529</c:v>
                </c:pt>
                <c:pt idx="12">
                  <c:v>43530</c:v>
                </c:pt>
                <c:pt idx="13">
                  <c:v>43531</c:v>
                </c:pt>
                <c:pt idx="14">
                  <c:v>43532</c:v>
                </c:pt>
                <c:pt idx="15">
                  <c:v>43535</c:v>
                </c:pt>
                <c:pt idx="16">
                  <c:v>43536</c:v>
                </c:pt>
                <c:pt idx="17">
                  <c:v>43537</c:v>
                </c:pt>
                <c:pt idx="18">
                  <c:v>43538</c:v>
                </c:pt>
                <c:pt idx="19">
                  <c:v>43539</c:v>
                </c:pt>
                <c:pt idx="20">
                  <c:v>43542</c:v>
                </c:pt>
                <c:pt idx="21">
                  <c:v>43543</c:v>
                </c:pt>
                <c:pt idx="22">
                  <c:v>43544</c:v>
                </c:pt>
                <c:pt idx="23">
                  <c:v>43545</c:v>
                </c:pt>
                <c:pt idx="24">
                  <c:v>43546</c:v>
                </c:pt>
              </c:numCache>
            </c:numRef>
          </c:cat>
          <c:val>
            <c:numRef>
              <c:f>Blad1!$E$74:$E$98</c:f>
              <c:numCache>
                <c:formatCode>General</c:formatCode>
                <c:ptCount val="25"/>
                <c:pt idx="24" formatCode="0.00">
                  <c:v>636</c:v>
                </c:pt>
              </c:numCache>
            </c:numRef>
          </c:val>
          <c:smooth val="0"/>
          <c:extLst>
            <c:ext xmlns:c16="http://schemas.microsoft.com/office/drawing/2014/chart" uri="{C3380CC4-5D6E-409C-BE32-E72D297353CC}">
              <c16:uniqueId val="{00000003-3DD5-5348-B6D0-DC356352D27B}"/>
            </c:ext>
          </c:extLst>
        </c:ser>
        <c:ser>
          <c:idx val="4"/>
          <c:order val="4"/>
          <c:spPr>
            <a:ln w="28575" cap="rnd">
              <a:solidFill>
                <a:schemeClr val="accent5"/>
              </a:solidFill>
              <a:round/>
            </a:ln>
            <a:effectLst/>
          </c:spPr>
          <c:marker>
            <c:symbol val="none"/>
          </c:marker>
          <c:cat>
            <c:numRef>
              <c:f>Blad1!$A$74:$A$98</c:f>
              <c:numCache>
                <c:formatCode>m/d/yy</c:formatCode>
                <c:ptCount val="25"/>
                <c:pt idx="0">
                  <c:v>43514</c:v>
                </c:pt>
                <c:pt idx="1">
                  <c:v>43515</c:v>
                </c:pt>
                <c:pt idx="2">
                  <c:v>43516</c:v>
                </c:pt>
                <c:pt idx="3">
                  <c:v>43517</c:v>
                </c:pt>
                <c:pt idx="4">
                  <c:v>43518</c:v>
                </c:pt>
                <c:pt idx="5">
                  <c:v>43521</c:v>
                </c:pt>
                <c:pt idx="6">
                  <c:v>43522</c:v>
                </c:pt>
                <c:pt idx="7">
                  <c:v>43523</c:v>
                </c:pt>
                <c:pt idx="8">
                  <c:v>43524</c:v>
                </c:pt>
                <c:pt idx="9">
                  <c:v>43525</c:v>
                </c:pt>
                <c:pt idx="10">
                  <c:v>43528</c:v>
                </c:pt>
                <c:pt idx="11">
                  <c:v>43529</c:v>
                </c:pt>
                <c:pt idx="12">
                  <c:v>43530</c:v>
                </c:pt>
                <c:pt idx="13">
                  <c:v>43531</c:v>
                </c:pt>
                <c:pt idx="14">
                  <c:v>43532</c:v>
                </c:pt>
                <c:pt idx="15">
                  <c:v>43535</c:v>
                </c:pt>
                <c:pt idx="16">
                  <c:v>43536</c:v>
                </c:pt>
                <c:pt idx="17">
                  <c:v>43537</c:v>
                </c:pt>
                <c:pt idx="18">
                  <c:v>43538</c:v>
                </c:pt>
                <c:pt idx="19">
                  <c:v>43539</c:v>
                </c:pt>
                <c:pt idx="20">
                  <c:v>43542</c:v>
                </c:pt>
                <c:pt idx="21">
                  <c:v>43543</c:v>
                </c:pt>
                <c:pt idx="22">
                  <c:v>43544</c:v>
                </c:pt>
                <c:pt idx="23">
                  <c:v>43545</c:v>
                </c:pt>
                <c:pt idx="24">
                  <c:v>43546</c:v>
                </c:pt>
              </c:numCache>
            </c:numRef>
          </c:cat>
          <c:val>
            <c:numRef>
              <c:f>Blad1!$F$74:$F$98</c:f>
              <c:numCache>
                <c:formatCode>General</c:formatCode>
                <c:ptCount val="25"/>
                <c:pt idx="22" formatCode="0.00">
                  <c:v>633.6</c:v>
                </c:pt>
                <c:pt idx="23" formatCode="0.00">
                  <c:v>633.6</c:v>
                </c:pt>
                <c:pt idx="24" formatCode="0.00">
                  <c:v>633.6</c:v>
                </c:pt>
              </c:numCache>
            </c:numRef>
          </c:val>
          <c:smooth val="0"/>
          <c:extLst>
            <c:ext xmlns:c16="http://schemas.microsoft.com/office/drawing/2014/chart" uri="{C3380CC4-5D6E-409C-BE32-E72D297353CC}">
              <c16:uniqueId val="{00000004-3DD5-5348-B6D0-DC356352D27B}"/>
            </c:ext>
          </c:extLst>
        </c:ser>
        <c:ser>
          <c:idx val="5"/>
          <c:order val="5"/>
          <c:spPr>
            <a:ln w="28575" cap="rnd">
              <a:solidFill>
                <a:schemeClr val="accent6"/>
              </a:solidFill>
              <a:round/>
            </a:ln>
            <a:effectLst/>
          </c:spPr>
          <c:marker>
            <c:symbol val="none"/>
          </c:marker>
          <c:cat>
            <c:numRef>
              <c:f>Blad1!$A$74:$A$98</c:f>
              <c:numCache>
                <c:formatCode>m/d/yy</c:formatCode>
                <c:ptCount val="25"/>
                <c:pt idx="0">
                  <c:v>43514</c:v>
                </c:pt>
                <c:pt idx="1">
                  <c:v>43515</c:v>
                </c:pt>
                <c:pt idx="2">
                  <c:v>43516</c:v>
                </c:pt>
                <c:pt idx="3">
                  <c:v>43517</c:v>
                </c:pt>
                <c:pt idx="4">
                  <c:v>43518</c:v>
                </c:pt>
                <c:pt idx="5">
                  <c:v>43521</c:v>
                </c:pt>
                <c:pt idx="6">
                  <c:v>43522</c:v>
                </c:pt>
                <c:pt idx="7">
                  <c:v>43523</c:v>
                </c:pt>
                <c:pt idx="8">
                  <c:v>43524</c:v>
                </c:pt>
                <c:pt idx="9">
                  <c:v>43525</c:v>
                </c:pt>
                <c:pt idx="10">
                  <c:v>43528</c:v>
                </c:pt>
                <c:pt idx="11">
                  <c:v>43529</c:v>
                </c:pt>
                <c:pt idx="12">
                  <c:v>43530</c:v>
                </c:pt>
                <c:pt idx="13">
                  <c:v>43531</c:v>
                </c:pt>
                <c:pt idx="14">
                  <c:v>43532</c:v>
                </c:pt>
                <c:pt idx="15">
                  <c:v>43535</c:v>
                </c:pt>
                <c:pt idx="16">
                  <c:v>43536</c:v>
                </c:pt>
                <c:pt idx="17">
                  <c:v>43537</c:v>
                </c:pt>
                <c:pt idx="18">
                  <c:v>43538</c:v>
                </c:pt>
                <c:pt idx="19">
                  <c:v>43539</c:v>
                </c:pt>
                <c:pt idx="20">
                  <c:v>43542</c:v>
                </c:pt>
                <c:pt idx="21">
                  <c:v>43543</c:v>
                </c:pt>
                <c:pt idx="22">
                  <c:v>43544</c:v>
                </c:pt>
                <c:pt idx="23">
                  <c:v>43545</c:v>
                </c:pt>
                <c:pt idx="24">
                  <c:v>43546</c:v>
                </c:pt>
              </c:numCache>
            </c:numRef>
          </c:cat>
          <c:val>
            <c:numRef>
              <c:f>Blad1!$G$74:$G$98</c:f>
              <c:numCache>
                <c:formatCode>General</c:formatCode>
                <c:ptCount val="25"/>
                <c:pt idx="14" formatCode="0.00">
                  <c:v>621.17999999999995</c:v>
                </c:pt>
                <c:pt idx="15" formatCode="0.00">
                  <c:v>621.17999999999995</c:v>
                </c:pt>
                <c:pt idx="16" formatCode="0.00">
                  <c:v>621.17999999999995</c:v>
                </c:pt>
                <c:pt idx="17" formatCode="0.00">
                  <c:v>621.17999999999995</c:v>
                </c:pt>
                <c:pt idx="18" formatCode="0.00">
                  <c:v>621.17999999999995</c:v>
                </c:pt>
                <c:pt idx="19" formatCode="0.00">
                  <c:v>621.17999999999995</c:v>
                </c:pt>
                <c:pt idx="20" formatCode="0.00">
                  <c:v>621.17999999999995</c:v>
                </c:pt>
                <c:pt idx="21" formatCode="0.00">
                  <c:v>621.17999999999995</c:v>
                </c:pt>
                <c:pt idx="22" formatCode="0.00">
                  <c:v>621.17999999999995</c:v>
                </c:pt>
                <c:pt idx="23" formatCode="0.00">
                  <c:v>621.17999999999995</c:v>
                </c:pt>
                <c:pt idx="24" formatCode="0.00">
                  <c:v>621.17999999999995</c:v>
                </c:pt>
              </c:numCache>
            </c:numRef>
          </c:val>
          <c:smooth val="0"/>
          <c:extLst>
            <c:ext xmlns:c16="http://schemas.microsoft.com/office/drawing/2014/chart" uri="{C3380CC4-5D6E-409C-BE32-E72D297353CC}">
              <c16:uniqueId val="{00000005-3DD5-5348-B6D0-DC356352D27B}"/>
            </c:ext>
          </c:extLst>
        </c:ser>
        <c:ser>
          <c:idx val="6"/>
          <c:order val="6"/>
          <c:spPr>
            <a:ln w="28575" cap="rnd">
              <a:solidFill>
                <a:schemeClr val="accent1">
                  <a:lumMod val="60000"/>
                </a:schemeClr>
              </a:solidFill>
              <a:round/>
            </a:ln>
            <a:effectLst/>
          </c:spPr>
          <c:marker>
            <c:symbol val="none"/>
          </c:marker>
          <c:cat>
            <c:numRef>
              <c:f>Blad1!$A$74:$A$98</c:f>
              <c:numCache>
                <c:formatCode>m/d/yy</c:formatCode>
                <c:ptCount val="25"/>
                <c:pt idx="0">
                  <c:v>43514</c:v>
                </c:pt>
                <c:pt idx="1">
                  <c:v>43515</c:v>
                </c:pt>
                <c:pt idx="2">
                  <c:v>43516</c:v>
                </c:pt>
                <c:pt idx="3">
                  <c:v>43517</c:v>
                </c:pt>
                <c:pt idx="4">
                  <c:v>43518</c:v>
                </c:pt>
                <c:pt idx="5">
                  <c:v>43521</c:v>
                </c:pt>
                <c:pt idx="6">
                  <c:v>43522</c:v>
                </c:pt>
                <c:pt idx="7">
                  <c:v>43523</c:v>
                </c:pt>
                <c:pt idx="8">
                  <c:v>43524</c:v>
                </c:pt>
                <c:pt idx="9">
                  <c:v>43525</c:v>
                </c:pt>
                <c:pt idx="10">
                  <c:v>43528</c:v>
                </c:pt>
                <c:pt idx="11">
                  <c:v>43529</c:v>
                </c:pt>
                <c:pt idx="12">
                  <c:v>43530</c:v>
                </c:pt>
                <c:pt idx="13">
                  <c:v>43531</c:v>
                </c:pt>
                <c:pt idx="14">
                  <c:v>43532</c:v>
                </c:pt>
                <c:pt idx="15">
                  <c:v>43535</c:v>
                </c:pt>
                <c:pt idx="16">
                  <c:v>43536</c:v>
                </c:pt>
                <c:pt idx="17">
                  <c:v>43537</c:v>
                </c:pt>
                <c:pt idx="18">
                  <c:v>43538</c:v>
                </c:pt>
                <c:pt idx="19">
                  <c:v>43539</c:v>
                </c:pt>
                <c:pt idx="20">
                  <c:v>43542</c:v>
                </c:pt>
                <c:pt idx="21">
                  <c:v>43543</c:v>
                </c:pt>
                <c:pt idx="22">
                  <c:v>43544</c:v>
                </c:pt>
                <c:pt idx="23">
                  <c:v>43545</c:v>
                </c:pt>
                <c:pt idx="24">
                  <c:v>43546</c:v>
                </c:pt>
              </c:numCache>
            </c:numRef>
          </c:cat>
          <c:val>
            <c:numRef>
              <c:f>Blad1!$H$74:$H$98</c:f>
              <c:numCache>
                <c:formatCode>General</c:formatCode>
                <c:ptCount val="25"/>
                <c:pt idx="8" formatCode="0.00">
                  <c:v>609</c:v>
                </c:pt>
                <c:pt idx="9" formatCode="0.00">
                  <c:v>609</c:v>
                </c:pt>
                <c:pt idx="10" formatCode="0.00">
                  <c:v>609</c:v>
                </c:pt>
                <c:pt idx="11" formatCode="0.00">
                  <c:v>609</c:v>
                </c:pt>
                <c:pt idx="12" formatCode="0.00">
                  <c:v>609</c:v>
                </c:pt>
                <c:pt idx="13" formatCode="0.00">
                  <c:v>609</c:v>
                </c:pt>
                <c:pt idx="14" formatCode="0.00">
                  <c:v>609</c:v>
                </c:pt>
                <c:pt idx="15" formatCode="0.00">
                  <c:v>609</c:v>
                </c:pt>
                <c:pt idx="16" formatCode="0.00">
                  <c:v>609</c:v>
                </c:pt>
                <c:pt idx="17" formatCode="0.00">
                  <c:v>609</c:v>
                </c:pt>
                <c:pt idx="18" formatCode="0.00">
                  <c:v>609</c:v>
                </c:pt>
                <c:pt idx="19" formatCode="0.00">
                  <c:v>609</c:v>
                </c:pt>
                <c:pt idx="20" formatCode="0.00">
                  <c:v>609</c:v>
                </c:pt>
                <c:pt idx="21" formatCode="0.00">
                  <c:v>609</c:v>
                </c:pt>
                <c:pt idx="22" formatCode="0.00">
                  <c:v>609</c:v>
                </c:pt>
                <c:pt idx="23" formatCode="0.00">
                  <c:v>609</c:v>
                </c:pt>
                <c:pt idx="24" formatCode="0.00">
                  <c:v>609</c:v>
                </c:pt>
              </c:numCache>
            </c:numRef>
          </c:val>
          <c:smooth val="0"/>
          <c:extLst>
            <c:ext xmlns:c16="http://schemas.microsoft.com/office/drawing/2014/chart" uri="{C3380CC4-5D6E-409C-BE32-E72D297353CC}">
              <c16:uniqueId val="{00000006-3DD5-5348-B6D0-DC356352D27B}"/>
            </c:ext>
          </c:extLst>
        </c:ser>
        <c:ser>
          <c:idx val="7"/>
          <c:order val="7"/>
          <c:spPr>
            <a:ln w="28575" cap="rnd">
              <a:solidFill>
                <a:schemeClr val="accent2">
                  <a:lumMod val="60000"/>
                </a:schemeClr>
              </a:solidFill>
              <a:round/>
            </a:ln>
            <a:effectLst/>
          </c:spPr>
          <c:marker>
            <c:symbol val="none"/>
          </c:marker>
          <c:cat>
            <c:numRef>
              <c:f>Blad1!$A$74:$A$98</c:f>
              <c:numCache>
                <c:formatCode>m/d/yy</c:formatCode>
                <c:ptCount val="25"/>
                <c:pt idx="0">
                  <c:v>43514</c:v>
                </c:pt>
                <c:pt idx="1">
                  <c:v>43515</c:v>
                </c:pt>
                <c:pt idx="2">
                  <c:v>43516</c:v>
                </c:pt>
                <c:pt idx="3">
                  <c:v>43517</c:v>
                </c:pt>
                <c:pt idx="4">
                  <c:v>43518</c:v>
                </c:pt>
                <c:pt idx="5">
                  <c:v>43521</c:v>
                </c:pt>
                <c:pt idx="6">
                  <c:v>43522</c:v>
                </c:pt>
                <c:pt idx="7">
                  <c:v>43523</c:v>
                </c:pt>
                <c:pt idx="8">
                  <c:v>43524</c:v>
                </c:pt>
                <c:pt idx="9">
                  <c:v>43525</c:v>
                </c:pt>
                <c:pt idx="10">
                  <c:v>43528</c:v>
                </c:pt>
                <c:pt idx="11">
                  <c:v>43529</c:v>
                </c:pt>
                <c:pt idx="12">
                  <c:v>43530</c:v>
                </c:pt>
                <c:pt idx="13">
                  <c:v>43531</c:v>
                </c:pt>
                <c:pt idx="14">
                  <c:v>43532</c:v>
                </c:pt>
                <c:pt idx="15">
                  <c:v>43535</c:v>
                </c:pt>
                <c:pt idx="16">
                  <c:v>43536</c:v>
                </c:pt>
                <c:pt idx="17">
                  <c:v>43537</c:v>
                </c:pt>
                <c:pt idx="18">
                  <c:v>43538</c:v>
                </c:pt>
                <c:pt idx="19">
                  <c:v>43539</c:v>
                </c:pt>
                <c:pt idx="20">
                  <c:v>43542</c:v>
                </c:pt>
                <c:pt idx="21">
                  <c:v>43543</c:v>
                </c:pt>
                <c:pt idx="22">
                  <c:v>43544</c:v>
                </c:pt>
                <c:pt idx="23">
                  <c:v>43545</c:v>
                </c:pt>
                <c:pt idx="24">
                  <c:v>43546</c:v>
                </c:pt>
              </c:numCache>
            </c:numRef>
          </c:cat>
          <c:val>
            <c:numRef>
              <c:f>Blad1!$I$74:$I$98</c:f>
              <c:numCache>
                <c:formatCode>General</c:formatCode>
                <c:ptCount val="25"/>
                <c:pt idx="5" formatCode="0.00">
                  <c:v>580</c:v>
                </c:pt>
                <c:pt idx="6" formatCode="0.00">
                  <c:v>580</c:v>
                </c:pt>
                <c:pt idx="7" formatCode="0.00">
                  <c:v>580</c:v>
                </c:pt>
                <c:pt idx="8" formatCode="0.00">
                  <c:v>580</c:v>
                </c:pt>
                <c:pt idx="9" formatCode="0.00">
                  <c:v>580</c:v>
                </c:pt>
                <c:pt idx="10" formatCode="0.00">
                  <c:v>580</c:v>
                </c:pt>
                <c:pt idx="11" formatCode="0.00">
                  <c:v>580</c:v>
                </c:pt>
                <c:pt idx="12" formatCode="0.00">
                  <c:v>580</c:v>
                </c:pt>
                <c:pt idx="13" formatCode="0.00">
                  <c:v>580</c:v>
                </c:pt>
                <c:pt idx="14" formatCode="0.00">
                  <c:v>580</c:v>
                </c:pt>
                <c:pt idx="15" formatCode="0.00">
                  <c:v>580</c:v>
                </c:pt>
                <c:pt idx="16" formatCode="0.00">
                  <c:v>580</c:v>
                </c:pt>
                <c:pt idx="17" formatCode="0.00">
                  <c:v>580</c:v>
                </c:pt>
                <c:pt idx="18" formatCode="0.00">
                  <c:v>580</c:v>
                </c:pt>
                <c:pt idx="19" formatCode="0.00">
                  <c:v>580</c:v>
                </c:pt>
                <c:pt idx="20" formatCode="0.00">
                  <c:v>580</c:v>
                </c:pt>
                <c:pt idx="21" formatCode="0.00">
                  <c:v>580</c:v>
                </c:pt>
                <c:pt idx="22" formatCode="0.00">
                  <c:v>580</c:v>
                </c:pt>
                <c:pt idx="23" formatCode="0.00">
                  <c:v>580</c:v>
                </c:pt>
                <c:pt idx="24" formatCode="0.00">
                  <c:v>580</c:v>
                </c:pt>
              </c:numCache>
            </c:numRef>
          </c:val>
          <c:smooth val="0"/>
          <c:extLst>
            <c:ext xmlns:c16="http://schemas.microsoft.com/office/drawing/2014/chart" uri="{C3380CC4-5D6E-409C-BE32-E72D297353CC}">
              <c16:uniqueId val="{00000007-3DD5-5348-B6D0-DC356352D27B}"/>
            </c:ext>
          </c:extLst>
        </c:ser>
        <c:ser>
          <c:idx val="8"/>
          <c:order val="8"/>
          <c:spPr>
            <a:ln w="28575" cap="rnd">
              <a:solidFill>
                <a:schemeClr val="accent3">
                  <a:lumMod val="60000"/>
                </a:schemeClr>
              </a:solidFill>
              <a:round/>
            </a:ln>
            <a:effectLst/>
          </c:spPr>
          <c:marker>
            <c:symbol val="none"/>
          </c:marker>
          <c:cat>
            <c:numRef>
              <c:f>Blad1!$A$74:$A$98</c:f>
              <c:numCache>
                <c:formatCode>m/d/yy</c:formatCode>
                <c:ptCount val="25"/>
                <c:pt idx="0">
                  <c:v>43514</c:v>
                </c:pt>
                <c:pt idx="1">
                  <c:v>43515</c:v>
                </c:pt>
                <c:pt idx="2">
                  <c:v>43516</c:v>
                </c:pt>
                <c:pt idx="3">
                  <c:v>43517</c:v>
                </c:pt>
                <c:pt idx="4">
                  <c:v>43518</c:v>
                </c:pt>
                <c:pt idx="5">
                  <c:v>43521</c:v>
                </c:pt>
                <c:pt idx="6">
                  <c:v>43522</c:v>
                </c:pt>
                <c:pt idx="7">
                  <c:v>43523</c:v>
                </c:pt>
                <c:pt idx="8">
                  <c:v>43524</c:v>
                </c:pt>
                <c:pt idx="9">
                  <c:v>43525</c:v>
                </c:pt>
                <c:pt idx="10">
                  <c:v>43528</c:v>
                </c:pt>
                <c:pt idx="11">
                  <c:v>43529</c:v>
                </c:pt>
                <c:pt idx="12">
                  <c:v>43530</c:v>
                </c:pt>
                <c:pt idx="13">
                  <c:v>43531</c:v>
                </c:pt>
                <c:pt idx="14">
                  <c:v>43532</c:v>
                </c:pt>
                <c:pt idx="15">
                  <c:v>43535</c:v>
                </c:pt>
                <c:pt idx="16">
                  <c:v>43536</c:v>
                </c:pt>
                <c:pt idx="17">
                  <c:v>43537</c:v>
                </c:pt>
                <c:pt idx="18">
                  <c:v>43538</c:v>
                </c:pt>
                <c:pt idx="19">
                  <c:v>43539</c:v>
                </c:pt>
                <c:pt idx="20">
                  <c:v>43542</c:v>
                </c:pt>
                <c:pt idx="21">
                  <c:v>43543</c:v>
                </c:pt>
                <c:pt idx="22">
                  <c:v>43544</c:v>
                </c:pt>
                <c:pt idx="23">
                  <c:v>43545</c:v>
                </c:pt>
                <c:pt idx="24">
                  <c:v>43546</c:v>
                </c:pt>
              </c:numCache>
            </c:numRef>
          </c:cat>
          <c:val>
            <c:numRef>
              <c:f>Blad1!$J$74:$J$98</c:f>
              <c:numCache>
                <c:formatCode>General</c:formatCode>
                <c:ptCount val="25"/>
                <c:pt idx="5" formatCode="0.00">
                  <c:v>500</c:v>
                </c:pt>
                <c:pt idx="6" formatCode="0.00">
                  <c:v>500</c:v>
                </c:pt>
                <c:pt idx="7" formatCode="0.00">
                  <c:v>500</c:v>
                </c:pt>
                <c:pt idx="8" formatCode="0.00">
                  <c:v>500</c:v>
                </c:pt>
                <c:pt idx="9" formatCode="0.00">
                  <c:v>500</c:v>
                </c:pt>
                <c:pt idx="10" formatCode="0.00">
                  <c:v>500</c:v>
                </c:pt>
                <c:pt idx="11" formatCode="0.00">
                  <c:v>500</c:v>
                </c:pt>
                <c:pt idx="12" formatCode="0.00">
                  <c:v>500</c:v>
                </c:pt>
                <c:pt idx="13" formatCode="0.00">
                  <c:v>500</c:v>
                </c:pt>
                <c:pt idx="14" formatCode="0.00">
                  <c:v>500</c:v>
                </c:pt>
                <c:pt idx="15" formatCode="0.00">
                  <c:v>500</c:v>
                </c:pt>
                <c:pt idx="16" formatCode="0.00">
                  <c:v>500</c:v>
                </c:pt>
                <c:pt idx="17" formatCode="0.00">
                  <c:v>500</c:v>
                </c:pt>
                <c:pt idx="18" formatCode="0.00">
                  <c:v>500</c:v>
                </c:pt>
                <c:pt idx="19" formatCode="0.00">
                  <c:v>500</c:v>
                </c:pt>
                <c:pt idx="20" formatCode="0.00">
                  <c:v>500</c:v>
                </c:pt>
                <c:pt idx="21" formatCode="0.00">
                  <c:v>500</c:v>
                </c:pt>
                <c:pt idx="22" formatCode="0.00">
                  <c:v>500</c:v>
                </c:pt>
                <c:pt idx="23" formatCode="0.00">
                  <c:v>500</c:v>
                </c:pt>
                <c:pt idx="24" formatCode="0.00">
                  <c:v>500</c:v>
                </c:pt>
              </c:numCache>
            </c:numRef>
          </c:val>
          <c:smooth val="0"/>
          <c:extLst>
            <c:ext xmlns:c16="http://schemas.microsoft.com/office/drawing/2014/chart" uri="{C3380CC4-5D6E-409C-BE32-E72D297353CC}">
              <c16:uniqueId val="{00000008-3DD5-5348-B6D0-DC356352D27B}"/>
            </c:ext>
          </c:extLst>
        </c:ser>
        <c:ser>
          <c:idx val="9"/>
          <c:order val="9"/>
          <c:spPr>
            <a:ln w="28575" cap="rnd">
              <a:solidFill>
                <a:schemeClr val="accent4">
                  <a:lumMod val="60000"/>
                </a:schemeClr>
              </a:solidFill>
              <a:round/>
            </a:ln>
            <a:effectLst/>
          </c:spPr>
          <c:marker>
            <c:symbol val="none"/>
          </c:marker>
          <c:cat>
            <c:numRef>
              <c:f>Blad1!$A$74:$A$98</c:f>
              <c:numCache>
                <c:formatCode>m/d/yy</c:formatCode>
                <c:ptCount val="25"/>
                <c:pt idx="0">
                  <c:v>43514</c:v>
                </c:pt>
                <c:pt idx="1">
                  <c:v>43515</c:v>
                </c:pt>
                <c:pt idx="2">
                  <c:v>43516</c:v>
                </c:pt>
                <c:pt idx="3">
                  <c:v>43517</c:v>
                </c:pt>
                <c:pt idx="4">
                  <c:v>43518</c:v>
                </c:pt>
                <c:pt idx="5">
                  <c:v>43521</c:v>
                </c:pt>
                <c:pt idx="6">
                  <c:v>43522</c:v>
                </c:pt>
                <c:pt idx="7">
                  <c:v>43523</c:v>
                </c:pt>
                <c:pt idx="8">
                  <c:v>43524</c:v>
                </c:pt>
                <c:pt idx="9">
                  <c:v>43525</c:v>
                </c:pt>
                <c:pt idx="10">
                  <c:v>43528</c:v>
                </c:pt>
                <c:pt idx="11">
                  <c:v>43529</c:v>
                </c:pt>
                <c:pt idx="12">
                  <c:v>43530</c:v>
                </c:pt>
                <c:pt idx="13">
                  <c:v>43531</c:v>
                </c:pt>
                <c:pt idx="14">
                  <c:v>43532</c:v>
                </c:pt>
                <c:pt idx="15">
                  <c:v>43535</c:v>
                </c:pt>
                <c:pt idx="16">
                  <c:v>43536</c:v>
                </c:pt>
                <c:pt idx="17">
                  <c:v>43537</c:v>
                </c:pt>
                <c:pt idx="18">
                  <c:v>43538</c:v>
                </c:pt>
                <c:pt idx="19">
                  <c:v>43539</c:v>
                </c:pt>
                <c:pt idx="20">
                  <c:v>43542</c:v>
                </c:pt>
                <c:pt idx="21">
                  <c:v>43543</c:v>
                </c:pt>
                <c:pt idx="22">
                  <c:v>43544</c:v>
                </c:pt>
                <c:pt idx="23">
                  <c:v>43545</c:v>
                </c:pt>
                <c:pt idx="24">
                  <c:v>43546</c:v>
                </c:pt>
              </c:numCache>
            </c:numRef>
          </c:cat>
          <c:val>
            <c:numRef>
              <c:f>Blad1!$K$74:$K$98</c:f>
              <c:numCache>
                <c:formatCode>General</c:formatCode>
                <c:ptCount val="25"/>
                <c:pt idx="5">
                  <c:v>538</c:v>
                </c:pt>
                <c:pt idx="6">
                  <c:v>532</c:v>
                </c:pt>
                <c:pt idx="7">
                  <c:v>526</c:v>
                </c:pt>
                <c:pt idx="8">
                  <c:v>520</c:v>
                </c:pt>
                <c:pt idx="9">
                  <c:v>514</c:v>
                </c:pt>
                <c:pt idx="10">
                  <c:v>508</c:v>
                </c:pt>
                <c:pt idx="11">
                  <c:v>500</c:v>
                </c:pt>
                <c:pt idx="12">
                  <c:v>494</c:v>
                </c:pt>
                <c:pt idx="13">
                  <c:v>488</c:v>
                </c:pt>
                <c:pt idx="14">
                  <c:v>482</c:v>
                </c:pt>
                <c:pt idx="15">
                  <c:v>476</c:v>
                </c:pt>
                <c:pt idx="16">
                  <c:v>474</c:v>
                </c:pt>
                <c:pt idx="17">
                  <c:v>468</c:v>
                </c:pt>
                <c:pt idx="18">
                  <c:v>462</c:v>
                </c:pt>
                <c:pt idx="19">
                  <c:v>456</c:v>
                </c:pt>
                <c:pt idx="20">
                  <c:v>452</c:v>
                </c:pt>
                <c:pt idx="21">
                  <c:v>446</c:v>
                </c:pt>
                <c:pt idx="22">
                  <c:v>439</c:v>
                </c:pt>
                <c:pt idx="23">
                  <c:v>433</c:v>
                </c:pt>
                <c:pt idx="24">
                  <c:v>430</c:v>
                </c:pt>
              </c:numCache>
            </c:numRef>
          </c:val>
          <c:smooth val="0"/>
          <c:extLst>
            <c:ext xmlns:c16="http://schemas.microsoft.com/office/drawing/2014/chart" uri="{C3380CC4-5D6E-409C-BE32-E72D297353CC}">
              <c16:uniqueId val="{00000009-3DD5-5348-B6D0-DC356352D27B}"/>
            </c:ext>
          </c:extLst>
        </c:ser>
        <c:ser>
          <c:idx val="10"/>
          <c:order val="10"/>
          <c:spPr>
            <a:ln w="28575" cap="rnd">
              <a:solidFill>
                <a:schemeClr val="accent5">
                  <a:lumMod val="60000"/>
                </a:schemeClr>
              </a:solidFill>
              <a:round/>
            </a:ln>
            <a:effectLst/>
          </c:spPr>
          <c:marker>
            <c:symbol val="none"/>
          </c:marker>
          <c:cat>
            <c:numRef>
              <c:f>Blad1!$A$74:$A$98</c:f>
              <c:numCache>
                <c:formatCode>m/d/yy</c:formatCode>
                <c:ptCount val="25"/>
                <c:pt idx="0">
                  <c:v>43514</c:v>
                </c:pt>
                <c:pt idx="1">
                  <c:v>43515</c:v>
                </c:pt>
                <c:pt idx="2">
                  <c:v>43516</c:v>
                </c:pt>
                <c:pt idx="3">
                  <c:v>43517</c:v>
                </c:pt>
                <c:pt idx="4">
                  <c:v>43518</c:v>
                </c:pt>
                <c:pt idx="5">
                  <c:v>43521</c:v>
                </c:pt>
                <c:pt idx="6">
                  <c:v>43522</c:v>
                </c:pt>
                <c:pt idx="7">
                  <c:v>43523</c:v>
                </c:pt>
                <c:pt idx="8">
                  <c:v>43524</c:v>
                </c:pt>
                <c:pt idx="9">
                  <c:v>43525</c:v>
                </c:pt>
                <c:pt idx="10">
                  <c:v>43528</c:v>
                </c:pt>
                <c:pt idx="11">
                  <c:v>43529</c:v>
                </c:pt>
                <c:pt idx="12">
                  <c:v>43530</c:v>
                </c:pt>
                <c:pt idx="13">
                  <c:v>43531</c:v>
                </c:pt>
                <c:pt idx="14">
                  <c:v>43532</c:v>
                </c:pt>
                <c:pt idx="15">
                  <c:v>43535</c:v>
                </c:pt>
                <c:pt idx="16">
                  <c:v>43536</c:v>
                </c:pt>
                <c:pt idx="17">
                  <c:v>43537</c:v>
                </c:pt>
                <c:pt idx="18">
                  <c:v>43538</c:v>
                </c:pt>
                <c:pt idx="19">
                  <c:v>43539</c:v>
                </c:pt>
                <c:pt idx="20">
                  <c:v>43542</c:v>
                </c:pt>
                <c:pt idx="21">
                  <c:v>43543</c:v>
                </c:pt>
                <c:pt idx="22">
                  <c:v>43544</c:v>
                </c:pt>
                <c:pt idx="23">
                  <c:v>43545</c:v>
                </c:pt>
                <c:pt idx="24">
                  <c:v>43546</c:v>
                </c:pt>
              </c:numCache>
            </c:numRef>
          </c:cat>
          <c:val>
            <c:numRef>
              <c:f>Blad1!$L$74:$L$98</c:f>
              <c:numCache>
                <c:formatCode>General</c:formatCode>
                <c:ptCount val="25"/>
                <c:pt idx="11" formatCode="0.00">
                  <c:v>475</c:v>
                </c:pt>
                <c:pt idx="12" formatCode="0.00">
                  <c:v>475</c:v>
                </c:pt>
                <c:pt idx="13" formatCode="0.00">
                  <c:v>475</c:v>
                </c:pt>
                <c:pt idx="14" formatCode="0.00">
                  <c:v>475</c:v>
                </c:pt>
                <c:pt idx="15" formatCode="0.00">
                  <c:v>475</c:v>
                </c:pt>
                <c:pt idx="16" formatCode="0.00">
                  <c:v>475</c:v>
                </c:pt>
                <c:pt idx="17" formatCode="0.00">
                  <c:v>475</c:v>
                </c:pt>
                <c:pt idx="18" formatCode="0.00">
                  <c:v>475</c:v>
                </c:pt>
                <c:pt idx="19" formatCode="0.00">
                  <c:v>475</c:v>
                </c:pt>
                <c:pt idx="20" formatCode="0.00">
                  <c:v>475</c:v>
                </c:pt>
                <c:pt idx="21" formatCode="0.00">
                  <c:v>475</c:v>
                </c:pt>
                <c:pt idx="22" formatCode="0.00">
                  <c:v>475</c:v>
                </c:pt>
                <c:pt idx="23" formatCode="0.00">
                  <c:v>475</c:v>
                </c:pt>
                <c:pt idx="24" formatCode="0.00">
                  <c:v>475</c:v>
                </c:pt>
              </c:numCache>
            </c:numRef>
          </c:val>
          <c:smooth val="0"/>
          <c:extLst>
            <c:ext xmlns:c16="http://schemas.microsoft.com/office/drawing/2014/chart" uri="{C3380CC4-5D6E-409C-BE32-E72D297353CC}">
              <c16:uniqueId val="{0000000A-3DD5-5348-B6D0-DC356352D27B}"/>
            </c:ext>
          </c:extLst>
        </c:ser>
        <c:ser>
          <c:idx val="11"/>
          <c:order val="11"/>
          <c:spPr>
            <a:ln w="28575" cap="rnd">
              <a:solidFill>
                <a:schemeClr val="accent6">
                  <a:lumMod val="60000"/>
                </a:schemeClr>
              </a:solidFill>
              <a:round/>
            </a:ln>
            <a:effectLst/>
          </c:spPr>
          <c:marker>
            <c:symbol val="none"/>
          </c:marker>
          <c:cat>
            <c:numRef>
              <c:f>Blad1!$A$74:$A$98</c:f>
              <c:numCache>
                <c:formatCode>m/d/yy</c:formatCode>
                <c:ptCount val="25"/>
                <c:pt idx="0">
                  <c:v>43514</c:v>
                </c:pt>
                <c:pt idx="1">
                  <c:v>43515</c:v>
                </c:pt>
                <c:pt idx="2">
                  <c:v>43516</c:v>
                </c:pt>
                <c:pt idx="3">
                  <c:v>43517</c:v>
                </c:pt>
                <c:pt idx="4">
                  <c:v>43518</c:v>
                </c:pt>
                <c:pt idx="5">
                  <c:v>43521</c:v>
                </c:pt>
                <c:pt idx="6">
                  <c:v>43522</c:v>
                </c:pt>
                <c:pt idx="7">
                  <c:v>43523</c:v>
                </c:pt>
                <c:pt idx="8">
                  <c:v>43524</c:v>
                </c:pt>
                <c:pt idx="9">
                  <c:v>43525</c:v>
                </c:pt>
                <c:pt idx="10">
                  <c:v>43528</c:v>
                </c:pt>
                <c:pt idx="11">
                  <c:v>43529</c:v>
                </c:pt>
                <c:pt idx="12">
                  <c:v>43530</c:v>
                </c:pt>
                <c:pt idx="13">
                  <c:v>43531</c:v>
                </c:pt>
                <c:pt idx="14">
                  <c:v>43532</c:v>
                </c:pt>
                <c:pt idx="15">
                  <c:v>43535</c:v>
                </c:pt>
                <c:pt idx="16">
                  <c:v>43536</c:v>
                </c:pt>
                <c:pt idx="17">
                  <c:v>43537</c:v>
                </c:pt>
                <c:pt idx="18">
                  <c:v>43538</c:v>
                </c:pt>
                <c:pt idx="19">
                  <c:v>43539</c:v>
                </c:pt>
                <c:pt idx="20">
                  <c:v>43542</c:v>
                </c:pt>
                <c:pt idx="21">
                  <c:v>43543</c:v>
                </c:pt>
                <c:pt idx="22">
                  <c:v>43544</c:v>
                </c:pt>
                <c:pt idx="23">
                  <c:v>43545</c:v>
                </c:pt>
                <c:pt idx="24">
                  <c:v>43546</c:v>
                </c:pt>
              </c:numCache>
            </c:numRef>
          </c:cat>
          <c:val>
            <c:numRef>
              <c:f>Blad1!$M$74:$M$98</c:f>
              <c:numCache>
                <c:formatCode>General</c:formatCode>
                <c:ptCount val="25"/>
                <c:pt idx="16" formatCode="0.00">
                  <c:v>456</c:v>
                </c:pt>
                <c:pt idx="17" formatCode="0.00">
                  <c:v>456</c:v>
                </c:pt>
                <c:pt idx="18" formatCode="0.00">
                  <c:v>456</c:v>
                </c:pt>
                <c:pt idx="19" formatCode="0.00">
                  <c:v>456</c:v>
                </c:pt>
                <c:pt idx="20" formatCode="0.00">
                  <c:v>456</c:v>
                </c:pt>
                <c:pt idx="21" formatCode="0.00">
                  <c:v>456</c:v>
                </c:pt>
                <c:pt idx="22" formatCode="0.00">
                  <c:v>456</c:v>
                </c:pt>
                <c:pt idx="23" formatCode="0.00">
                  <c:v>456</c:v>
                </c:pt>
                <c:pt idx="24" formatCode="0.00">
                  <c:v>456</c:v>
                </c:pt>
              </c:numCache>
            </c:numRef>
          </c:val>
          <c:smooth val="0"/>
          <c:extLst>
            <c:ext xmlns:c16="http://schemas.microsoft.com/office/drawing/2014/chart" uri="{C3380CC4-5D6E-409C-BE32-E72D297353CC}">
              <c16:uniqueId val="{0000000B-3DD5-5348-B6D0-DC356352D27B}"/>
            </c:ext>
          </c:extLst>
        </c:ser>
        <c:ser>
          <c:idx val="12"/>
          <c:order val="12"/>
          <c:spPr>
            <a:ln w="28575" cap="rnd">
              <a:solidFill>
                <a:schemeClr val="accent1">
                  <a:lumMod val="80000"/>
                  <a:lumOff val="20000"/>
                </a:schemeClr>
              </a:solidFill>
              <a:round/>
            </a:ln>
            <a:effectLst/>
          </c:spPr>
          <c:marker>
            <c:symbol val="none"/>
          </c:marker>
          <c:cat>
            <c:numRef>
              <c:f>Blad1!$A$74:$A$98</c:f>
              <c:numCache>
                <c:formatCode>m/d/yy</c:formatCode>
                <c:ptCount val="25"/>
                <c:pt idx="0">
                  <c:v>43514</c:v>
                </c:pt>
                <c:pt idx="1">
                  <c:v>43515</c:v>
                </c:pt>
                <c:pt idx="2">
                  <c:v>43516</c:v>
                </c:pt>
                <c:pt idx="3">
                  <c:v>43517</c:v>
                </c:pt>
                <c:pt idx="4">
                  <c:v>43518</c:v>
                </c:pt>
                <c:pt idx="5">
                  <c:v>43521</c:v>
                </c:pt>
                <c:pt idx="6">
                  <c:v>43522</c:v>
                </c:pt>
                <c:pt idx="7">
                  <c:v>43523</c:v>
                </c:pt>
                <c:pt idx="8">
                  <c:v>43524</c:v>
                </c:pt>
                <c:pt idx="9">
                  <c:v>43525</c:v>
                </c:pt>
                <c:pt idx="10">
                  <c:v>43528</c:v>
                </c:pt>
                <c:pt idx="11">
                  <c:v>43529</c:v>
                </c:pt>
                <c:pt idx="12">
                  <c:v>43530</c:v>
                </c:pt>
                <c:pt idx="13">
                  <c:v>43531</c:v>
                </c:pt>
                <c:pt idx="14">
                  <c:v>43532</c:v>
                </c:pt>
                <c:pt idx="15">
                  <c:v>43535</c:v>
                </c:pt>
                <c:pt idx="16">
                  <c:v>43536</c:v>
                </c:pt>
                <c:pt idx="17">
                  <c:v>43537</c:v>
                </c:pt>
                <c:pt idx="18">
                  <c:v>43538</c:v>
                </c:pt>
                <c:pt idx="19">
                  <c:v>43539</c:v>
                </c:pt>
                <c:pt idx="20">
                  <c:v>43542</c:v>
                </c:pt>
                <c:pt idx="21">
                  <c:v>43543</c:v>
                </c:pt>
                <c:pt idx="22">
                  <c:v>43544</c:v>
                </c:pt>
                <c:pt idx="23">
                  <c:v>43545</c:v>
                </c:pt>
                <c:pt idx="24">
                  <c:v>43546</c:v>
                </c:pt>
              </c:numCache>
            </c:numRef>
          </c:cat>
          <c:val>
            <c:numRef>
              <c:f>Blad1!$N$74:$N$98</c:f>
              <c:numCache>
                <c:formatCode>General</c:formatCode>
                <c:ptCount val="25"/>
                <c:pt idx="19" formatCode="0.00">
                  <c:v>442.32</c:v>
                </c:pt>
                <c:pt idx="20" formatCode="0.00">
                  <c:v>442.32</c:v>
                </c:pt>
                <c:pt idx="21" formatCode="0.00">
                  <c:v>442.32</c:v>
                </c:pt>
                <c:pt idx="22" formatCode="0.00">
                  <c:v>442.32</c:v>
                </c:pt>
                <c:pt idx="23" formatCode="0.00">
                  <c:v>442.32</c:v>
                </c:pt>
                <c:pt idx="24" formatCode="0.00">
                  <c:v>442.32</c:v>
                </c:pt>
              </c:numCache>
            </c:numRef>
          </c:val>
          <c:smooth val="0"/>
          <c:extLst>
            <c:ext xmlns:c16="http://schemas.microsoft.com/office/drawing/2014/chart" uri="{C3380CC4-5D6E-409C-BE32-E72D297353CC}">
              <c16:uniqueId val="{0000000C-3DD5-5348-B6D0-DC356352D27B}"/>
            </c:ext>
          </c:extLst>
        </c:ser>
        <c:ser>
          <c:idx val="13"/>
          <c:order val="13"/>
          <c:spPr>
            <a:ln w="28575" cap="rnd">
              <a:solidFill>
                <a:schemeClr val="accent2">
                  <a:lumMod val="80000"/>
                  <a:lumOff val="20000"/>
                </a:schemeClr>
              </a:solidFill>
              <a:round/>
            </a:ln>
            <a:effectLst/>
          </c:spPr>
          <c:marker>
            <c:symbol val="none"/>
          </c:marker>
          <c:cat>
            <c:numRef>
              <c:f>Blad1!$A$74:$A$98</c:f>
              <c:numCache>
                <c:formatCode>m/d/yy</c:formatCode>
                <c:ptCount val="25"/>
                <c:pt idx="0">
                  <c:v>43514</c:v>
                </c:pt>
                <c:pt idx="1">
                  <c:v>43515</c:v>
                </c:pt>
                <c:pt idx="2">
                  <c:v>43516</c:v>
                </c:pt>
                <c:pt idx="3">
                  <c:v>43517</c:v>
                </c:pt>
                <c:pt idx="4">
                  <c:v>43518</c:v>
                </c:pt>
                <c:pt idx="5">
                  <c:v>43521</c:v>
                </c:pt>
                <c:pt idx="6">
                  <c:v>43522</c:v>
                </c:pt>
                <c:pt idx="7">
                  <c:v>43523</c:v>
                </c:pt>
                <c:pt idx="8">
                  <c:v>43524</c:v>
                </c:pt>
                <c:pt idx="9">
                  <c:v>43525</c:v>
                </c:pt>
                <c:pt idx="10">
                  <c:v>43528</c:v>
                </c:pt>
                <c:pt idx="11">
                  <c:v>43529</c:v>
                </c:pt>
                <c:pt idx="12">
                  <c:v>43530</c:v>
                </c:pt>
                <c:pt idx="13">
                  <c:v>43531</c:v>
                </c:pt>
                <c:pt idx="14">
                  <c:v>43532</c:v>
                </c:pt>
                <c:pt idx="15">
                  <c:v>43535</c:v>
                </c:pt>
                <c:pt idx="16">
                  <c:v>43536</c:v>
                </c:pt>
                <c:pt idx="17">
                  <c:v>43537</c:v>
                </c:pt>
                <c:pt idx="18">
                  <c:v>43538</c:v>
                </c:pt>
                <c:pt idx="19">
                  <c:v>43539</c:v>
                </c:pt>
                <c:pt idx="20">
                  <c:v>43542</c:v>
                </c:pt>
                <c:pt idx="21">
                  <c:v>43543</c:v>
                </c:pt>
                <c:pt idx="22">
                  <c:v>43544</c:v>
                </c:pt>
                <c:pt idx="23">
                  <c:v>43545</c:v>
                </c:pt>
                <c:pt idx="24">
                  <c:v>43546</c:v>
                </c:pt>
              </c:numCache>
            </c:numRef>
          </c:cat>
          <c:val>
            <c:numRef>
              <c:f>Blad1!$O$74:$O$98</c:f>
              <c:numCache>
                <c:formatCode>General</c:formatCode>
                <c:ptCount val="25"/>
                <c:pt idx="23" formatCode="0.00">
                  <c:v>429.05</c:v>
                </c:pt>
                <c:pt idx="24" formatCode="0.00">
                  <c:v>429.05</c:v>
                </c:pt>
              </c:numCache>
            </c:numRef>
          </c:val>
          <c:smooth val="0"/>
          <c:extLst>
            <c:ext xmlns:c16="http://schemas.microsoft.com/office/drawing/2014/chart" uri="{C3380CC4-5D6E-409C-BE32-E72D297353CC}">
              <c16:uniqueId val="{0000000D-3DD5-5348-B6D0-DC356352D27B}"/>
            </c:ext>
          </c:extLst>
        </c:ser>
        <c:dLbls>
          <c:showLegendKey val="0"/>
          <c:showVal val="0"/>
          <c:showCatName val="0"/>
          <c:showSerName val="0"/>
          <c:showPercent val="0"/>
          <c:showBubbleSize val="0"/>
        </c:dLbls>
        <c:smooth val="0"/>
        <c:axId val="356769823"/>
        <c:axId val="400277407"/>
      </c:lineChart>
      <c:dateAx>
        <c:axId val="356769823"/>
        <c:scaling>
          <c:orientation val="minMax"/>
        </c:scaling>
        <c:delete val="0"/>
        <c:axPos val="b"/>
        <c:numFmt formatCode="m/d/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00277407"/>
        <c:crosses val="autoZero"/>
        <c:auto val="1"/>
        <c:lblOffset val="100"/>
        <c:baseTimeUnit val="days"/>
      </c:dateAx>
      <c:valAx>
        <c:axId val="400277407"/>
        <c:scaling>
          <c:orientation val="minMax"/>
          <c:max val="650"/>
          <c:min val="42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nl-NL"/>
          </a:p>
        </c:txPr>
        <c:crossAx val="3567698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934</Words>
  <Characters>5141</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2019-04-11T11:51:00Z</dcterms:created>
  <dcterms:modified xsi:type="dcterms:W3CDTF">2019-04-11T11:51:00Z</dcterms:modified>
</cp:coreProperties>
</file>